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361F1"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JANUARY</w:t>
      </w:r>
      <w:r w:rsidR="001B5B2F">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Pr>
          <w:rFonts w:ascii="Palatino Linotype" w:hAnsi="Palatino Linotype"/>
          <w:b/>
          <w:color w:val="FF0000"/>
          <w:sz w:val="22"/>
          <w:szCs w:val="22"/>
        </w:rPr>
        <w:t>01</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2"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3"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FE77E0" w:rsidRDefault="00FE77E0" w:rsidP="00FE77E0">
      <w:pPr>
        <w:spacing w:line="20" w:lineRule="atLeast"/>
        <w:jc w:val="both"/>
        <w:rPr>
          <w:rFonts w:ascii="Palatino Linotype" w:hAnsi="Palatino Linotype"/>
          <w:b/>
          <w:color w:val="0000FF"/>
          <w:sz w:val="22"/>
          <w:szCs w:val="22"/>
        </w:rPr>
      </w:pPr>
    </w:p>
    <w:p w:rsidR="001B5B2F" w:rsidRPr="00A36146" w:rsidRDefault="001B5B2F"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A637F" w:rsidRDefault="00CA637F" w:rsidP="001A42AC">
      <w:pPr>
        <w:spacing w:line="360" w:lineRule="auto"/>
        <w:jc w:val="center"/>
        <w:outlineLvl w:val="0"/>
        <w:rPr>
          <w:rFonts w:ascii="Palatino Linotype" w:hAnsi="Palatino Linotype" w:cs="Helvetica"/>
          <w:b/>
          <w:sz w:val="22"/>
          <w:szCs w:val="22"/>
        </w:rPr>
      </w:pPr>
    </w:p>
    <w:p w:rsidR="001A42AC" w:rsidRDefault="001A42AC" w:rsidP="007547DA">
      <w:pPr>
        <w:jc w:val="center"/>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7547DA" w:rsidRPr="009A0EB3" w:rsidRDefault="007547DA" w:rsidP="007547DA">
      <w:pPr>
        <w:jc w:val="both"/>
        <w:rPr>
          <w:rFonts w:ascii="Palatino Linotype" w:hAnsi="Palatino Linotype"/>
          <w:sz w:val="22"/>
          <w:szCs w:val="22"/>
          <w:highlight w:val="yellow"/>
        </w:rPr>
      </w:pPr>
    </w:p>
    <w:p w:rsidR="00DD68D0" w:rsidRPr="000909C9" w:rsidRDefault="00DD68D0" w:rsidP="00DD68D0">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0909C9">
        <w:rPr>
          <w:rFonts w:ascii="Palatino Linotype" w:eastAsia="Palatino Linotype" w:hAnsi="Palatino Linotype" w:cs="Palatino Linotype"/>
          <w:b/>
          <w:sz w:val="22"/>
          <w:szCs w:val="22"/>
        </w:rPr>
        <w:t xml:space="preserve">Trends in Resource Mobilisation by Corporates  </w:t>
      </w:r>
    </w:p>
    <w:p w:rsidR="00DD68D0" w:rsidRPr="003105AF" w:rsidRDefault="00DD68D0" w:rsidP="00DD68D0">
      <w:pPr>
        <w:widowControl w:val="0"/>
        <w:spacing w:line="276" w:lineRule="auto"/>
        <w:jc w:val="both"/>
        <w:rPr>
          <w:rFonts w:ascii="Palatino Linotype" w:eastAsia="Palatino Linotype" w:hAnsi="Palatino Linotype" w:cs="Palatino Linotype"/>
          <w:b/>
          <w:color w:val="2E74B5"/>
          <w:sz w:val="22"/>
          <w:szCs w:val="22"/>
          <w:highlight w:val="yellow"/>
        </w:rPr>
      </w:pPr>
    </w:p>
    <w:p w:rsidR="00DD68D0" w:rsidRPr="00544AC3" w:rsidRDefault="00DD68D0" w:rsidP="00DD68D0">
      <w:pPr>
        <w:widowControl w:val="0"/>
        <w:spacing w:line="276" w:lineRule="auto"/>
        <w:jc w:val="both"/>
        <w:rPr>
          <w:rFonts w:ascii="Palatino Linotype" w:eastAsia="Palatino Linotype" w:hAnsi="Palatino Linotype" w:cs="Palatino Linotype"/>
          <w:b/>
          <w:sz w:val="22"/>
          <w:szCs w:val="22"/>
        </w:rPr>
      </w:pPr>
      <w:r w:rsidRPr="00544AC3">
        <w:rPr>
          <w:rFonts w:ascii="Palatino Linotype" w:eastAsia="Palatino Linotype" w:hAnsi="Palatino Linotype" w:cs="Palatino Linotype"/>
          <w:b/>
          <w:sz w:val="22"/>
          <w:szCs w:val="22"/>
        </w:rPr>
        <w:t>Table 1: Fund Mobilisation by Corporates (</w:t>
      </w:r>
      <w:r w:rsidRPr="00544AC3">
        <w:rPr>
          <w:rFonts w:ascii="Tahoma" w:eastAsia="Tahoma" w:hAnsi="Tahoma" w:cs="Tahoma"/>
          <w:b/>
          <w:sz w:val="22"/>
          <w:szCs w:val="22"/>
        </w:rPr>
        <w:t>₹</w:t>
      </w:r>
      <w:r w:rsidRPr="00544AC3">
        <w:rPr>
          <w:rFonts w:ascii="Palatino Linotype" w:eastAsia="Palatino Linotype" w:hAnsi="Palatino Linotype" w:cs="Palatino Linotype"/>
          <w:b/>
          <w:sz w:val="22"/>
          <w:szCs w:val="22"/>
        </w:rPr>
        <w:t xml:space="preserve">crore) </w:t>
      </w:r>
    </w:p>
    <w:tbl>
      <w:tblPr>
        <w:tblW w:w="8020" w:type="dxa"/>
        <w:tblInd w:w="113" w:type="dxa"/>
        <w:tblLook w:val="04A0" w:firstRow="1" w:lastRow="0" w:firstColumn="1" w:lastColumn="0" w:noHBand="0" w:noVBand="1"/>
      </w:tblPr>
      <w:tblGrid>
        <w:gridCol w:w="5140"/>
        <w:gridCol w:w="1420"/>
        <w:gridCol w:w="1460"/>
      </w:tblGrid>
      <w:tr w:rsidR="00DD68D0" w:rsidRPr="005451A8" w:rsidTr="00932FDF">
        <w:trPr>
          <w:trHeight w:val="315"/>
        </w:trPr>
        <w:tc>
          <w:tcPr>
            <w:tcW w:w="5140"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DD68D0" w:rsidRPr="005451A8" w:rsidRDefault="00DD68D0" w:rsidP="00932FDF">
            <w:pPr>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Particulars</w:t>
            </w:r>
          </w:p>
        </w:tc>
        <w:tc>
          <w:tcPr>
            <w:tcW w:w="1420" w:type="dxa"/>
            <w:tcBorders>
              <w:top w:val="single" w:sz="4" w:space="0" w:color="000000"/>
              <w:left w:val="nil"/>
              <w:bottom w:val="single" w:sz="4" w:space="0" w:color="000000"/>
              <w:right w:val="single" w:sz="4" w:space="0" w:color="000000"/>
            </w:tcBorders>
            <w:shd w:val="clear" w:color="A9D08E" w:fill="A9D08E"/>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Nov-20</w:t>
            </w:r>
          </w:p>
        </w:tc>
        <w:tc>
          <w:tcPr>
            <w:tcW w:w="1460" w:type="dxa"/>
            <w:tcBorders>
              <w:top w:val="single" w:sz="4" w:space="0" w:color="000000"/>
              <w:left w:val="nil"/>
              <w:bottom w:val="single" w:sz="4" w:space="0" w:color="000000"/>
              <w:right w:val="single" w:sz="4" w:space="0" w:color="000000"/>
            </w:tcBorders>
            <w:shd w:val="clear" w:color="A9D08E" w:fill="A9D08E"/>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Dec-20</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000000" w:fill="B7DEE8"/>
            <w:noWrap/>
            <w:vAlign w:val="center"/>
            <w:hideMark/>
          </w:tcPr>
          <w:p w:rsidR="00DD68D0" w:rsidRPr="005451A8" w:rsidRDefault="00DD68D0" w:rsidP="00932FDF">
            <w:pPr>
              <w:rPr>
                <w:rFonts w:ascii="Garamond" w:eastAsia="Times New Roman" w:hAnsi="Garamond"/>
                <w:b/>
                <w:bCs/>
                <w:i/>
                <w:iCs/>
                <w:color w:val="000000"/>
                <w:sz w:val="20"/>
                <w:szCs w:val="20"/>
                <w:lang w:val="en-IN" w:eastAsia="en-IN" w:bidi="hi-IN"/>
              </w:rPr>
            </w:pPr>
            <w:r w:rsidRPr="005451A8">
              <w:rPr>
                <w:rFonts w:ascii="Garamond" w:eastAsia="Times New Roman" w:hAnsi="Garamond"/>
                <w:b/>
                <w:bCs/>
                <w:i/>
                <w:iCs/>
                <w:color w:val="000000"/>
                <w:sz w:val="20"/>
                <w:szCs w:val="20"/>
                <w:lang w:val="en-IN" w:eastAsia="en-IN" w:bidi="hi-IN"/>
              </w:rPr>
              <w:t>A. Funds Mobilisation through Public  Issue (I+II)</w:t>
            </w:r>
          </w:p>
        </w:tc>
        <w:tc>
          <w:tcPr>
            <w:tcW w:w="1420" w:type="dxa"/>
            <w:tcBorders>
              <w:top w:val="nil"/>
              <w:left w:val="nil"/>
              <w:bottom w:val="single" w:sz="4" w:space="0" w:color="000000"/>
              <w:right w:val="single" w:sz="4" w:space="0" w:color="000000"/>
            </w:tcBorders>
            <w:shd w:val="clear" w:color="000000" w:fill="B7DEE8"/>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7,212.6 </w:t>
            </w:r>
          </w:p>
        </w:tc>
        <w:tc>
          <w:tcPr>
            <w:tcW w:w="1460" w:type="dxa"/>
            <w:tcBorders>
              <w:top w:val="nil"/>
              <w:left w:val="nil"/>
              <w:bottom w:val="single" w:sz="4" w:space="0" w:color="000000"/>
              <w:right w:val="single" w:sz="4" w:space="0" w:color="000000"/>
            </w:tcBorders>
            <w:shd w:val="clear" w:color="000000" w:fill="B7DEE8"/>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1,652.4 </w:t>
            </w:r>
          </w:p>
        </w:tc>
      </w:tr>
      <w:tr w:rsidR="00DD68D0" w:rsidRPr="005451A8" w:rsidTr="00932FDF">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DD68D0" w:rsidRPr="005451A8" w:rsidRDefault="00DD68D0" w:rsidP="00932FDF">
            <w:pPr>
              <w:rPr>
                <w:rFonts w:ascii="Garamond" w:eastAsia="Times New Roman" w:hAnsi="Garamond"/>
                <w:b/>
                <w:bCs/>
                <w:i/>
                <w:iCs/>
                <w:color w:val="000000"/>
                <w:sz w:val="20"/>
                <w:szCs w:val="20"/>
                <w:lang w:val="en-IN" w:eastAsia="en-IN" w:bidi="hi-IN"/>
              </w:rPr>
            </w:pPr>
            <w:r w:rsidRPr="005451A8">
              <w:rPr>
                <w:rFonts w:ascii="Garamond" w:eastAsia="Times New Roman" w:hAnsi="Garamond"/>
                <w:b/>
                <w:bCs/>
                <w:i/>
                <w:iCs/>
                <w:color w:val="000000"/>
                <w:sz w:val="20"/>
                <w:szCs w:val="20"/>
                <w:lang w:val="en-IN" w:eastAsia="en-IN" w:bidi="hi-IN"/>
              </w:rPr>
              <w:t>I. Equity Public Issue</w:t>
            </w:r>
          </w:p>
        </w:tc>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7,070.0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1,652.4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a. IPOs (i+ii)</w:t>
            </w:r>
          </w:p>
        </w:tc>
        <w:tc>
          <w:tcPr>
            <w:tcW w:w="1420" w:type="dxa"/>
            <w:tcBorders>
              <w:top w:val="nil"/>
              <w:left w:val="nil"/>
              <w:bottom w:val="single" w:sz="4" w:space="0" w:color="auto"/>
              <w:right w:val="single" w:sz="4" w:space="0" w:color="auto"/>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6,998.7 </w:t>
            </w:r>
          </w:p>
        </w:tc>
        <w:tc>
          <w:tcPr>
            <w:tcW w:w="1460" w:type="dxa"/>
            <w:tcBorders>
              <w:top w:val="nil"/>
              <w:left w:val="nil"/>
              <w:bottom w:val="single" w:sz="4" w:space="0" w:color="auto"/>
              <w:right w:val="single" w:sz="4" w:space="0" w:color="auto"/>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1,353.2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i. Main Board</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6,997.1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1,350.5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ii. SME Platform</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1.6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2.7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b. FPOs</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c. Equity Right Issue</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71.3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299.2 </w:t>
            </w:r>
          </w:p>
        </w:tc>
      </w:tr>
      <w:tr w:rsidR="00DD68D0" w:rsidRPr="005451A8" w:rsidTr="00932FDF">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DD68D0" w:rsidRPr="005451A8" w:rsidRDefault="00DD68D0" w:rsidP="00932FDF">
            <w:pPr>
              <w:rPr>
                <w:rFonts w:ascii="Garamond" w:eastAsia="Times New Roman" w:hAnsi="Garamond"/>
                <w:b/>
                <w:bCs/>
                <w:i/>
                <w:iCs/>
                <w:color w:val="000000"/>
                <w:sz w:val="20"/>
                <w:szCs w:val="20"/>
                <w:lang w:val="en-IN" w:eastAsia="en-IN" w:bidi="hi-IN"/>
              </w:rPr>
            </w:pPr>
            <w:r w:rsidRPr="005451A8">
              <w:rPr>
                <w:rFonts w:ascii="Garamond" w:eastAsia="Times New Roman" w:hAnsi="Garamond"/>
                <w:b/>
                <w:bCs/>
                <w:i/>
                <w:iCs/>
                <w:color w:val="000000"/>
                <w:sz w:val="20"/>
                <w:szCs w:val="20"/>
                <w:lang w:val="en-IN" w:eastAsia="en-IN" w:bidi="hi-IN"/>
              </w:rPr>
              <w:t>II. Debt Public Issue</w:t>
            </w:r>
          </w:p>
        </w:tc>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142.5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000000" w:fill="B7DEE8"/>
            <w:noWrap/>
            <w:vAlign w:val="center"/>
            <w:hideMark/>
          </w:tcPr>
          <w:p w:rsidR="00DD68D0" w:rsidRPr="005451A8" w:rsidRDefault="00DD68D0" w:rsidP="00932FDF">
            <w:pPr>
              <w:rPr>
                <w:rFonts w:ascii="Garamond" w:eastAsia="Times New Roman" w:hAnsi="Garamond"/>
                <w:b/>
                <w:bCs/>
                <w:i/>
                <w:iCs/>
                <w:color w:val="000000"/>
                <w:sz w:val="20"/>
                <w:szCs w:val="20"/>
                <w:lang w:val="en-IN" w:eastAsia="en-IN" w:bidi="hi-IN"/>
              </w:rPr>
            </w:pPr>
            <w:r w:rsidRPr="005451A8">
              <w:rPr>
                <w:rFonts w:ascii="Garamond" w:eastAsia="Times New Roman" w:hAnsi="Garamond"/>
                <w:b/>
                <w:bCs/>
                <w:i/>
                <w:iCs/>
                <w:color w:val="000000"/>
                <w:sz w:val="20"/>
                <w:szCs w:val="20"/>
                <w:lang w:val="en-IN" w:eastAsia="en-IN" w:bidi="hi-IN"/>
              </w:rPr>
              <w:t>B. Funds Mobilisation through Private Placement</w:t>
            </w:r>
          </w:p>
        </w:tc>
        <w:tc>
          <w:tcPr>
            <w:tcW w:w="1420" w:type="dxa"/>
            <w:tcBorders>
              <w:top w:val="nil"/>
              <w:left w:val="nil"/>
              <w:bottom w:val="single" w:sz="4" w:space="0" w:color="000000"/>
              <w:right w:val="single" w:sz="4" w:space="0" w:color="000000"/>
            </w:tcBorders>
            <w:shd w:val="clear" w:color="000000" w:fill="B7DEE8"/>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52,803.8 </w:t>
            </w:r>
          </w:p>
        </w:tc>
        <w:tc>
          <w:tcPr>
            <w:tcW w:w="1460" w:type="dxa"/>
            <w:tcBorders>
              <w:top w:val="nil"/>
              <w:left w:val="nil"/>
              <w:bottom w:val="single" w:sz="4" w:space="0" w:color="000000"/>
              <w:right w:val="single" w:sz="4" w:space="0" w:color="000000"/>
            </w:tcBorders>
            <w:shd w:val="clear" w:color="000000" w:fill="B7DEE8"/>
            <w:noWrap/>
            <w:vAlign w:val="center"/>
            <w:hideMark/>
          </w:tcPr>
          <w:p w:rsidR="00DD68D0" w:rsidRPr="005451A8" w:rsidRDefault="00DD68D0" w:rsidP="00932FDF">
            <w:pPr>
              <w:jc w:val="right"/>
              <w:rPr>
                <w:rFonts w:ascii="Garamond" w:eastAsia="Times New Roman" w:hAnsi="Garamond"/>
                <w:b/>
                <w:bCs/>
                <w:color w:val="000000"/>
                <w:sz w:val="20"/>
                <w:szCs w:val="20"/>
                <w:lang w:val="en-IN" w:eastAsia="en-IN" w:bidi="hi-IN"/>
              </w:rPr>
            </w:pPr>
            <w:r w:rsidRPr="005451A8">
              <w:rPr>
                <w:rFonts w:ascii="Garamond" w:eastAsia="Times New Roman" w:hAnsi="Garamond"/>
                <w:b/>
                <w:bCs/>
                <w:color w:val="000000"/>
                <w:sz w:val="20"/>
                <w:szCs w:val="20"/>
                <w:lang w:val="en-IN" w:eastAsia="en-IN" w:bidi="hi-IN"/>
              </w:rPr>
              <w:t xml:space="preserve">         97,334.7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1. QIP/IPP</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250.0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7,423.2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2. Preferential Allotment</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7,008.8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1,781.6 </w:t>
            </w:r>
          </w:p>
        </w:tc>
      </w:tr>
      <w:tr w:rsidR="00DD68D0" w:rsidRPr="005451A8" w:rsidTr="00932FDF">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DD68D0" w:rsidRPr="005451A8" w:rsidRDefault="00DD68D0" w:rsidP="00932FDF">
            <w:pPr>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3. Private Placement of Debt</w:t>
            </w:r>
          </w:p>
        </w:tc>
        <w:tc>
          <w:tcPr>
            <w:tcW w:w="142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45,545.0 </w:t>
            </w:r>
          </w:p>
        </w:tc>
        <w:tc>
          <w:tcPr>
            <w:tcW w:w="1460" w:type="dxa"/>
            <w:tcBorders>
              <w:top w:val="nil"/>
              <w:left w:val="nil"/>
              <w:bottom w:val="single" w:sz="4" w:space="0" w:color="000000"/>
              <w:right w:val="single" w:sz="4" w:space="0" w:color="000000"/>
            </w:tcBorders>
            <w:shd w:val="clear" w:color="auto" w:fill="auto"/>
            <w:noWrap/>
            <w:vAlign w:val="center"/>
            <w:hideMark/>
          </w:tcPr>
          <w:p w:rsidR="00DD68D0" w:rsidRPr="005451A8" w:rsidRDefault="00DD68D0" w:rsidP="00932FDF">
            <w:pPr>
              <w:jc w:val="right"/>
              <w:rPr>
                <w:rFonts w:ascii="Garamond" w:eastAsia="Times New Roman" w:hAnsi="Garamond"/>
                <w:color w:val="000000"/>
                <w:sz w:val="20"/>
                <w:szCs w:val="20"/>
                <w:lang w:val="en-IN" w:eastAsia="en-IN" w:bidi="hi-IN"/>
              </w:rPr>
            </w:pPr>
            <w:r w:rsidRPr="005451A8">
              <w:rPr>
                <w:rFonts w:ascii="Garamond" w:eastAsia="Times New Roman" w:hAnsi="Garamond"/>
                <w:color w:val="000000"/>
                <w:sz w:val="20"/>
                <w:szCs w:val="20"/>
                <w:lang w:val="en-IN" w:eastAsia="en-IN" w:bidi="hi-IN"/>
              </w:rPr>
              <w:t xml:space="preserve">          88,129.9 </w:t>
            </w:r>
          </w:p>
        </w:tc>
      </w:tr>
      <w:tr w:rsidR="00DD68D0" w:rsidRPr="00544AC3" w:rsidTr="00932FDF">
        <w:trPr>
          <w:trHeight w:val="315"/>
        </w:trPr>
        <w:tc>
          <w:tcPr>
            <w:tcW w:w="5140" w:type="dxa"/>
            <w:tcBorders>
              <w:top w:val="nil"/>
              <w:left w:val="single" w:sz="4" w:space="0" w:color="000000"/>
              <w:bottom w:val="single" w:sz="4" w:space="0" w:color="000000"/>
              <w:right w:val="single" w:sz="4" w:space="0" w:color="000000"/>
            </w:tcBorders>
            <w:shd w:val="clear" w:color="000000" w:fill="B7DEE8"/>
            <w:noWrap/>
            <w:vAlign w:val="center"/>
            <w:hideMark/>
          </w:tcPr>
          <w:p w:rsidR="00DD68D0" w:rsidRPr="00544AC3" w:rsidRDefault="00DD68D0" w:rsidP="00932FDF">
            <w:pPr>
              <w:rPr>
                <w:rFonts w:ascii="Garamond" w:eastAsia="Times New Roman" w:hAnsi="Garamond"/>
                <w:b/>
                <w:bCs/>
                <w:i/>
                <w:iCs/>
                <w:color w:val="000000"/>
                <w:sz w:val="20"/>
                <w:szCs w:val="20"/>
                <w:lang w:val="en-IN" w:eastAsia="en-IN" w:bidi="hi-IN"/>
              </w:rPr>
            </w:pPr>
            <w:r w:rsidRPr="00544AC3">
              <w:rPr>
                <w:rFonts w:ascii="Garamond" w:eastAsia="Times New Roman" w:hAnsi="Garamond"/>
                <w:b/>
                <w:bCs/>
                <w:i/>
                <w:iCs/>
                <w:color w:val="000000"/>
                <w:sz w:val="20"/>
                <w:szCs w:val="20"/>
                <w:lang w:val="en-IN" w:eastAsia="en-IN" w:bidi="hi-IN"/>
              </w:rPr>
              <w:t>Total Funds Mobilised (A+B)</w:t>
            </w:r>
          </w:p>
        </w:tc>
        <w:tc>
          <w:tcPr>
            <w:tcW w:w="1420" w:type="dxa"/>
            <w:tcBorders>
              <w:top w:val="nil"/>
              <w:left w:val="nil"/>
              <w:bottom w:val="single" w:sz="4" w:space="0" w:color="000000"/>
              <w:right w:val="single" w:sz="4" w:space="0" w:color="000000"/>
            </w:tcBorders>
            <w:shd w:val="clear" w:color="000000" w:fill="B7DEE8"/>
            <w:noWrap/>
            <w:vAlign w:val="center"/>
            <w:hideMark/>
          </w:tcPr>
          <w:p w:rsidR="00DD68D0" w:rsidRPr="00544AC3" w:rsidRDefault="00DD68D0" w:rsidP="00932FDF">
            <w:pPr>
              <w:jc w:val="right"/>
              <w:rPr>
                <w:rFonts w:ascii="Garamond" w:eastAsia="Times New Roman" w:hAnsi="Garamond"/>
                <w:b/>
                <w:bCs/>
                <w:color w:val="000000"/>
                <w:sz w:val="20"/>
                <w:szCs w:val="20"/>
                <w:lang w:val="en-IN" w:eastAsia="en-IN" w:bidi="hi-IN"/>
              </w:rPr>
            </w:pPr>
            <w:r w:rsidRPr="00544AC3">
              <w:rPr>
                <w:rFonts w:ascii="Garamond" w:eastAsia="Times New Roman" w:hAnsi="Garamond"/>
                <w:b/>
                <w:bCs/>
                <w:color w:val="000000"/>
                <w:sz w:val="20"/>
                <w:szCs w:val="20"/>
                <w:lang w:val="en-IN" w:eastAsia="en-IN" w:bidi="hi-IN"/>
              </w:rPr>
              <w:t xml:space="preserve">         60,016.3 </w:t>
            </w:r>
          </w:p>
        </w:tc>
        <w:tc>
          <w:tcPr>
            <w:tcW w:w="1460" w:type="dxa"/>
            <w:tcBorders>
              <w:top w:val="nil"/>
              <w:left w:val="nil"/>
              <w:bottom w:val="single" w:sz="4" w:space="0" w:color="000000"/>
              <w:right w:val="single" w:sz="4" w:space="0" w:color="000000"/>
            </w:tcBorders>
            <w:shd w:val="clear" w:color="000000" w:fill="B7DEE8"/>
            <w:noWrap/>
            <w:vAlign w:val="center"/>
            <w:hideMark/>
          </w:tcPr>
          <w:p w:rsidR="00DD68D0" w:rsidRPr="00544AC3" w:rsidRDefault="00DD68D0" w:rsidP="00932FDF">
            <w:pPr>
              <w:jc w:val="right"/>
              <w:rPr>
                <w:rFonts w:ascii="Garamond" w:eastAsia="Times New Roman" w:hAnsi="Garamond"/>
                <w:b/>
                <w:bCs/>
                <w:color w:val="000000"/>
                <w:sz w:val="20"/>
                <w:szCs w:val="20"/>
                <w:lang w:val="en-IN" w:eastAsia="en-IN" w:bidi="hi-IN"/>
              </w:rPr>
            </w:pPr>
            <w:r w:rsidRPr="00544AC3">
              <w:rPr>
                <w:rFonts w:ascii="Garamond" w:eastAsia="Times New Roman" w:hAnsi="Garamond"/>
                <w:b/>
                <w:bCs/>
                <w:color w:val="000000"/>
                <w:sz w:val="20"/>
                <w:szCs w:val="20"/>
                <w:lang w:val="en-IN" w:eastAsia="en-IN" w:bidi="hi-IN"/>
              </w:rPr>
              <w:t xml:space="preserve">         98,987.1 </w:t>
            </w:r>
          </w:p>
        </w:tc>
      </w:tr>
    </w:tbl>
    <w:p w:rsidR="00DD68D0" w:rsidRPr="00544AC3" w:rsidRDefault="00DD68D0" w:rsidP="00DD68D0">
      <w:pPr>
        <w:widowControl w:val="0"/>
        <w:tabs>
          <w:tab w:val="right" w:pos="9888"/>
        </w:tabs>
        <w:spacing w:line="276" w:lineRule="auto"/>
        <w:jc w:val="both"/>
        <w:rPr>
          <w:rFonts w:ascii="Palatino Linotype" w:eastAsia="Palatino Linotype" w:hAnsi="Palatino Linotype" w:cs="Palatino Linotype"/>
          <w:b/>
          <w:sz w:val="18"/>
          <w:szCs w:val="18"/>
        </w:rPr>
      </w:pPr>
      <w:r w:rsidRPr="00544AC3">
        <w:rPr>
          <w:rFonts w:ascii="Palatino Linotype" w:eastAsia="Palatino Linotype" w:hAnsi="Palatino Linotype" w:cs="Palatino Linotype"/>
          <w:b/>
          <w:sz w:val="18"/>
          <w:szCs w:val="18"/>
        </w:rPr>
        <w:t>Source: SEBI, NSE, BSE and MSEI</w:t>
      </w:r>
    </w:p>
    <w:p w:rsidR="00DD68D0" w:rsidRPr="003105AF" w:rsidRDefault="00DD68D0" w:rsidP="00DD68D0">
      <w:pPr>
        <w:widowControl w:val="0"/>
        <w:tabs>
          <w:tab w:val="right" w:pos="9888"/>
        </w:tabs>
        <w:spacing w:line="276" w:lineRule="auto"/>
        <w:jc w:val="both"/>
        <w:rPr>
          <w:rFonts w:ascii="Palatino Linotype" w:eastAsia="Palatino Linotype" w:hAnsi="Palatino Linotype" w:cs="Palatino Linotype"/>
          <w:b/>
          <w:sz w:val="18"/>
          <w:szCs w:val="18"/>
          <w:highlight w:val="yellow"/>
        </w:rPr>
      </w:pPr>
    </w:p>
    <w:p w:rsidR="00DD68D0" w:rsidRPr="00854B9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48625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December</w:t>
      </w:r>
      <w:r w:rsidRPr="00486254">
        <w:rPr>
          <w:rFonts w:ascii="Palatino Linotype" w:eastAsia="Palatino Linotype" w:hAnsi="Palatino Linotype" w:cs="Palatino Linotype"/>
          <w:sz w:val="22"/>
          <w:szCs w:val="22"/>
        </w:rPr>
        <w:t xml:space="preserve"> 2020, there were two Main Board IPO issues, one SME issue and one rights issue, </w:t>
      </w:r>
      <w:r w:rsidRPr="00854B95">
        <w:rPr>
          <w:rFonts w:ascii="Palatino Linotype" w:eastAsia="Palatino Linotype" w:hAnsi="Palatino Linotype" w:cs="Palatino Linotype"/>
          <w:sz w:val="22"/>
          <w:szCs w:val="22"/>
        </w:rPr>
        <w:t xml:space="preserve">mobilising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1,350.5 crore,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2.7 crore, and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299.2 crore, respectively.  </w:t>
      </w:r>
    </w:p>
    <w:p w:rsidR="00DD68D0" w:rsidRPr="00854B9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54B95">
        <w:rPr>
          <w:rFonts w:ascii="Palatino Linotype" w:eastAsia="Palatino Linotype" w:hAnsi="Palatino Linotype" w:cs="Palatino Linotype"/>
          <w:sz w:val="22"/>
          <w:szCs w:val="22"/>
        </w:rPr>
        <w:t xml:space="preserve">During December 2020, </w:t>
      </w:r>
      <w:r w:rsidRPr="00854B95">
        <w:rPr>
          <w:rFonts w:ascii="Palatino Linotype" w:eastAsia="Palatino Linotype" w:hAnsi="Palatino Linotype" w:cs="Palatino Linotype"/>
          <w:color w:val="000000"/>
          <w:sz w:val="22"/>
          <w:szCs w:val="22"/>
        </w:rPr>
        <w:t xml:space="preserve">there were no public issues of corporate bonds compared to </w:t>
      </w:r>
      <w:r w:rsidRPr="00854B95">
        <w:rPr>
          <w:rFonts w:ascii="Palatino Linotype" w:eastAsia="Palatino Linotype" w:hAnsi="Palatino Linotype" w:cs="Palatino Linotype"/>
          <w:sz w:val="22"/>
          <w:szCs w:val="22"/>
        </w:rPr>
        <w:t xml:space="preserve">one public issue of corporate bond, amounting to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142.5 crore during November 2020.  </w:t>
      </w:r>
    </w:p>
    <w:p w:rsidR="00DD68D0" w:rsidRPr="00854B9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54B95">
        <w:rPr>
          <w:rFonts w:ascii="Palatino Linotype" w:eastAsia="Palatino Linotype" w:hAnsi="Palatino Linotype" w:cs="Palatino Linotype"/>
          <w:sz w:val="22"/>
          <w:szCs w:val="22"/>
        </w:rPr>
        <w:t xml:space="preserve">An amount of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9,204.8 crore was raised through private placement of equity (i.e., preferential allotment and QIP) during December 2020, against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7,258.8 crore during November 2020. </w:t>
      </w:r>
    </w:p>
    <w:p w:rsidR="00DD68D0" w:rsidRPr="00854B9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54B95">
        <w:rPr>
          <w:rFonts w:ascii="Palatino Linotype" w:eastAsia="Palatino Linotype" w:hAnsi="Palatino Linotype" w:cs="Palatino Linotype"/>
          <w:sz w:val="22"/>
          <w:szCs w:val="22"/>
        </w:rPr>
        <w:t xml:space="preserve">Private placement of corporate debt reported on BSE and NSE stood at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88,129.9 crore during December 2020, compared to </w:t>
      </w:r>
      <w:r w:rsidRPr="00854B95">
        <w:rPr>
          <w:rFonts w:ascii="Tahoma" w:eastAsia="Palatino Linotype" w:hAnsi="Tahoma" w:cs="Tahoma"/>
          <w:sz w:val="22"/>
          <w:szCs w:val="22"/>
        </w:rPr>
        <w:t>₹</w:t>
      </w:r>
      <w:r w:rsidRPr="00854B95">
        <w:rPr>
          <w:rFonts w:ascii="Palatino Linotype" w:eastAsia="Palatino Linotype" w:hAnsi="Palatino Linotype" w:cs="Palatino Linotype"/>
          <w:sz w:val="22"/>
          <w:szCs w:val="22"/>
        </w:rPr>
        <w:t xml:space="preserve">45,545.0 crore during November 2020.  </w:t>
      </w:r>
    </w:p>
    <w:p w:rsidR="00DD68D0" w:rsidRPr="003105AF" w:rsidRDefault="00DD68D0" w:rsidP="00DD68D0">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DD68D0" w:rsidRPr="00B270FB" w:rsidRDefault="00DD68D0" w:rsidP="00DD68D0">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B270FB">
        <w:rPr>
          <w:rFonts w:ascii="Palatino Linotype" w:eastAsia="Palatino Linotype" w:hAnsi="Palatino Linotype" w:cs="Palatino Linotype"/>
          <w:b/>
          <w:sz w:val="22"/>
          <w:szCs w:val="22"/>
        </w:rPr>
        <w:t>Trends in the Secondary Market</w:t>
      </w:r>
    </w:p>
    <w:p w:rsidR="00DD68D0" w:rsidRPr="00B270FB" w:rsidRDefault="00DD68D0" w:rsidP="00DD68D0">
      <w:pPr>
        <w:widowControl w:val="0"/>
        <w:tabs>
          <w:tab w:val="left" w:pos="3915"/>
        </w:tabs>
        <w:spacing w:line="276" w:lineRule="auto"/>
        <w:jc w:val="both"/>
        <w:rPr>
          <w:rFonts w:ascii="Palatino Linotype" w:eastAsia="Palatino Linotype" w:hAnsi="Palatino Linotype" w:cs="Palatino Linotype"/>
          <w:b/>
          <w:sz w:val="22"/>
          <w:szCs w:val="22"/>
        </w:rPr>
      </w:pPr>
    </w:p>
    <w:p w:rsidR="00DD68D0" w:rsidRPr="00A62B8A"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62B8A">
        <w:rPr>
          <w:rFonts w:ascii="Palatino Linotype" w:eastAsia="Palatino Linotype" w:hAnsi="Palatino Linotype" w:cs="Palatino Linotype"/>
          <w:sz w:val="22"/>
          <w:szCs w:val="22"/>
        </w:rPr>
        <w:t>At the end of December 2020, Nifty 50 closed at 13,982 points registering an increase of 7.8 per cent as compared to the 12,969 points level at the end of November 2020.</w:t>
      </w:r>
    </w:p>
    <w:p w:rsidR="00DD68D0" w:rsidRPr="00FC65F7"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C65F7">
        <w:rPr>
          <w:rFonts w:ascii="Palatino Linotype" w:eastAsia="Palatino Linotype" w:hAnsi="Palatino Linotype" w:cs="Palatino Linotype"/>
          <w:sz w:val="22"/>
          <w:szCs w:val="22"/>
        </w:rPr>
        <w:t>S&amp;P BSE Sensex closed at 47,751 points at the end of December 2020, registering an increase of 8.2 per cent as compared to the 44,150 points level at the end of November 2020.</w:t>
      </w:r>
    </w:p>
    <w:p w:rsidR="00DD68D0" w:rsidRPr="00D47DE4"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C65F7">
        <w:rPr>
          <w:rFonts w:ascii="Palatino Linotype" w:eastAsia="Palatino Linotype" w:hAnsi="Palatino Linotype" w:cs="Palatino Linotype"/>
          <w:sz w:val="22"/>
          <w:szCs w:val="22"/>
        </w:rPr>
        <w:t xml:space="preserve">Nifty 50 reached its intraday high for the month, on December 30, 2020 with 13,982 points and intraday low for the month, on December 01, 2020 with 13,109 points. S&amp;P BSE Sensex reached its </w:t>
      </w:r>
      <w:r w:rsidRPr="00D47DE4">
        <w:rPr>
          <w:rFonts w:ascii="Palatino Linotype" w:eastAsia="Palatino Linotype" w:hAnsi="Palatino Linotype" w:cs="Palatino Linotype"/>
          <w:sz w:val="22"/>
          <w:szCs w:val="22"/>
        </w:rPr>
        <w:t>intraday high for the month, on December 31, 2020 with 47,751 points and intraday low for the month, on December 02, 2020 with 44,618 points.</w:t>
      </w:r>
    </w:p>
    <w:p w:rsidR="00DD68D0" w:rsidRPr="00D47DE4"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47DE4">
        <w:rPr>
          <w:rFonts w:ascii="Palatino Linotype" w:eastAsia="Palatino Linotype" w:hAnsi="Palatino Linotype" w:cs="Palatino Linotype"/>
          <w:sz w:val="22"/>
          <w:szCs w:val="22"/>
        </w:rPr>
        <w:t>The P/E ratios of S&amp;P BSE Sensex and Nifty 50 were 33.5 and 38.5, respectively, at the end of December 2020 compared to 31.5 and 35.7, respectively, at the end of November 2020.</w:t>
      </w:r>
    </w:p>
    <w:p w:rsidR="00DD68D0" w:rsidRPr="003105AF" w:rsidRDefault="00DD68D0" w:rsidP="00DD68D0">
      <w:pPr>
        <w:widowControl w:val="0"/>
        <w:spacing w:line="276" w:lineRule="auto"/>
        <w:jc w:val="both"/>
        <w:rPr>
          <w:rFonts w:ascii="Palatino Linotype" w:eastAsia="Palatino Linotype" w:hAnsi="Palatino Linotype" w:cs="Palatino Linotype"/>
          <w:b/>
          <w:color w:val="2E74B5"/>
          <w:sz w:val="22"/>
          <w:szCs w:val="22"/>
          <w:highlight w:val="yellow"/>
        </w:rPr>
      </w:pPr>
    </w:p>
    <w:p w:rsidR="00DD68D0" w:rsidRDefault="00DD68D0" w:rsidP="00DD68D0">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p>
    <w:p w:rsidR="00DD68D0" w:rsidRPr="00CD6B29" w:rsidRDefault="00DD68D0" w:rsidP="00DD68D0">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CD6B29">
        <w:rPr>
          <w:rFonts w:ascii="Palatino Linotype" w:eastAsia="Palatino Linotype" w:hAnsi="Palatino Linotype" w:cs="Palatino Linotype"/>
          <w:b/>
          <w:sz w:val="22"/>
          <w:szCs w:val="22"/>
        </w:rPr>
        <w:t xml:space="preserve">Table 2: Snapshot of Indian Capital Market </w:t>
      </w:r>
    </w:p>
    <w:tbl>
      <w:tblPr>
        <w:tblW w:w="7340" w:type="dxa"/>
        <w:tblInd w:w="113" w:type="dxa"/>
        <w:tblLook w:val="04A0" w:firstRow="1" w:lastRow="0" w:firstColumn="1" w:lastColumn="0" w:noHBand="0" w:noVBand="1"/>
      </w:tblPr>
      <w:tblGrid>
        <w:gridCol w:w="2620"/>
        <w:gridCol w:w="1480"/>
        <w:gridCol w:w="1480"/>
        <w:gridCol w:w="1760"/>
      </w:tblGrid>
      <w:tr w:rsidR="00DD68D0" w:rsidRPr="00A0021C" w:rsidTr="00932FDF">
        <w:trPr>
          <w:trHeight w:val="780"/>
        </w:trPr>
        <w:tc>
          <w:tcPr>
            <w:tcW w:w="2620"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DD68D0" w:rsidRPr="00A0021C" w:rsidRDefault="00DD68D0" w:rsidP="00932FDF">
            <w:pPr>
              <w:rPr>
                <w:rFonts w:ascii="Palatino Linotype" w:eastAsia="Times New Roman" w:hAnsi="Palatino Linotype"/>
                <w:b/>
                <w:bCs/>
                <w:color w:val="000000"/>
                <w:sz w:val="18"/>
                <w:szCs w:val="18"/>
                <w:lang w:val="en-IN" w:eastAsia="en-IN" w:bidi="hi-IN"/>
              </w:rPr>
            </w:pPr>
            <w:r w:rsidRPr="00A0021C">
              <w:rPr>
                <w:rFonts w:ascii="Palatino Linotype" w:eastAsia="Times New Roman" w:hAnsi="Palatino Linotype"/>
                <w:b/>
                <w:bCs/>
                <w:color w:val="000000"/>
                <w:sz w:val="18"/>
                <w:szCs w:val="18"/>
                <w:lang w:val="en-IN" w:eastAsia="en-IN" w:bidi="hi-IN"/>
              </w:rPr>
              <w:t>Description</w:t>
            </w:r>
          </w:p>
        </w:tc>
        <w:tc>
          <w:tcPr>
            <w:tcW w:w="1480" w:type="dxa"/>
            <w:tcBorders>
              <w:top w:val="single" w:sz="4" w:space="0" w:color="000000"/>
              <w:left w:val="nil"/>
              <w:bottom w:val="single" w:sz="4" w:space="0" w:color="000000"/>
              <w:right w:val="single" w:sz="4" w:space="0" w:color="000000"/>
            </w:tcBorders>
            <w:shd w:val="clear" w:color="92CDDC" w:fill="92CDDC"/>
            <w:noWrap/>
            <w:vAlign w:val="center"/>
            <w:hideMark/>
          </w:tcPr>
          <w:p w:rsidR="00DD68D0" w:rsidRPr="00A0021C" w:rsidRDefault="00DD68D0" w:rsidP="00932FDF">
            <w:pPr>
              <w:jc w:val="center"/>
              <w:rPr>
                <w:rFonts w:ascii="Palatino Linotype" w:eastAsia="Times New Roman" w:hAnsi="Palatino Linotype"/>
                <w:b/>
                <w:bCs/>
                <w:color w:val="000000"/>
                <w:sz w:val="18"/>
                <w:szCs w:val="18"/>
                <w:lang w:val="en-IN" w:eastAsia="en-IN" w:bidi="hi-IN"/>
              </w:rPr>
            </w:pPr>
            <w:r w:rsidRPr="00A0021C">
              <w:rPr>
                <w:rFonts w:ascii="Palatino Linotype" w:eastAsia="Times New Roman" w:hAnsi="Palatino Linotype"/>
                <w:b/>
                <w:bCs/>
                <w:color w:val="000000"/>
                <w:sz w:val="18"/>
                <w:szCs w:val="18"/>
                <w:lang w:val="en-IN" w:eastAsia="en-IN" w:bidi="hi-IN"/>
              </w:rPr>
              <w:t>Nov-20</w:t>
            </w:r>
          </w:p>
        </w:tc>
        <w:tc>
          <w:tcPr>
            <w:tcW w:w="1480" w:type="dxa"/>
            <w:tcBorders>
              <w:top w:val="single" w:sz="4" w:space="0" w:color="000000"/>
              <w:left w:val="nil"/>
              <w:bottom w:val="single" w:sz="4" w:space="0" w:color="000000"/>
              <w:right w:val="single" w:sz="4" w:space="0" w:color="000000"/>
            </w:tcBorders>
            <w:shd w:val="clear" w:color="92CDDC" w:fill="92CDDC"/>
            <w:noWrap/>
            <w:vAlign w:val="center"/>
            <w:hideMark/>
          </w:tcPr>
          <w:p w:rsidR="00DD68D0" w:rsidRPr="00A0021C" w:rsidRDefault="00DD68D0" w:rsidP="00932FDF">
            <w:pPr>
              <w:jc w:val="center"/>
              <w:rPr>
                <w:rFonts w:ascii="Palatino Linotype" w:eastAsia="Times New Roman" w:hAnsi="Palatino Linotype"/>
                <w:b/>
                <w:bCs/>
                <w:color w:val="000000"/>
                <w:sz w:val="18"/>
                <w:szCs w:val="18"/>
                <w:lang w:val="en-IN" w:eastAsia="en-IN" w:bidi="hi-IN"/>
              </w:rPr>
            </w:pPr>
            <w:r w:rsidRPr="00A0021C">
              <w:rPr>
                <w:rFonts w:ascii="Palatino Linotype" w:eastAsia="Times New Roman" w:hAnsi="Palatino Linotype"/>
                <w:b/>
                <w:bCs/>
                <w:color w:val="000000"/>
                <w:sz w:val="18"/>
                <w:szCs w:val="18"/>
                <w:lang w:val="en-IN" w:eastAsia="en-IN" w:bidi="hi-IN"/>
              </w:rPr>
              <w:t>Dec-20</w:t>
            </w:r>
          </w:p>
        </w:tc>
        <w:tc>
          <w:tcPr>
            <w:tcW w:w="1760" w:type="dxa"/>
            <w:tcBorders>
              <w:top w:val="single" w:sz="4" w:space="0" w:color="000000"/>
              <w:left w:val="nil"/>
              <w:bottom w:val="single" w:sz="4" w:space="0" w:color="000000"/>
              <w:right w:val="single" w:sz="4" w:space="0" w:color="000000"/>
            </w:tcBorders>
            <w:shd w:val="clear" w:color="92CDDC" w:fill="92CDDC"/>
            <w:vAlign w:val="center"/>
            <w:hideMark/>
          </w:tcPr>
          <w:p w:rsidR="00DD68D0" w:rsidRPr="00A0021C" w:rsidRDefault="00DD68D0" w:rsidP="00932FDF">
            <w:pPr>
              <w:jc w:val="center"/>
              <w:rPr>
                <w:rFonts w:ascii="Palatino Linotype" w:eastAsia="Times New Roman" w:hAnsi="Palatino Linotype"/>
                <w:b/>
                <w:bCs/>
                <w:color w:val="000000"/>
                <w:sz w:val="18"/>
                <w:szCs w:val="18"/>
                <w:lang w:val="en-IN" w:eastAsia="en-IN" w:bidi="hi-IN"/>
              </w:rPr>
            </w:pPr>
            <w:r w:rsidRPr="00A0021C">
              <w:rPr>
                <w:rFonts w:ascii="Palatino Linotype" w:eastAsia="Times New Roman" w:hAnsi="Palatino Linotype"/>
                <w:b/>
                <w:bCs/>
                <w:color w:val="000000"/>
                <w:sz w:val="18"/>
                <w:szCs w:val="18"/>
                <w:lang w:val="en-IN" w:eastAsia="en-IN" w:bidi="hi-IN"/>
              </w:rPr>
              <w:t>MoM percentage change</w:t>
            </w:r>
          </w:p>
        </w:tc>
      </w:tr>
      <w:tr w:rsidR="00DD68D0" w:rsidRPr="00A0021C" w:rsidTr="00932FDF">
        <w:trPr>
          <w:trHeight w:val="315"/>
        </w:trPr>
        <w:tc>
          <w:tcPr>
            <w:tcW w:w="2620" w:type="dxa"/>
            <w:tcBorders>
              <w:top w:val="nil"/>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Index in Equity Market</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Sensex</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44,150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47,751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8.2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Nifty 50</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12,969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13,982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7.8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Nifty 500</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10,719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11,518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7.5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BSE 500</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16,995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18,300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7.7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Nifty Bank</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29,609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31,264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5.6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Nifty IT</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21,765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24,251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11.4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BSE Healthcare</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20,319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21,681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6.7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BSE FMCG</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11,726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12,609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7.5 </w:t>
            </w:r>
          </w:p>
        </w:tc>
      </w:tr>
      <w:tr w:rsidR="00DD68D0" w:rsidRPr="00A0021C" w:rsidTr="00932FDF">
        <w:trPr>
          <w:trHeight w:val="315"/>
        </w:trPr>
        <w:tc>
          <w:tcPr>
            <w:tcW w:w="410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Market Capitalisation (</w:t>
            </w:r>
            <w:r w:rsidRPr="00A0021C">
              <w:rPr>
                <w:rFonts w:ascii="Times New Roman" w:eastAsia="Times New Roman" w:hAnsi="Times New Roman"/>
                <w:b/>
                <w:bCs/>
                <w:sz w:val="18"/>
                <w:szCs w:val="18"/>
                <w:lang w:val="en-IN" w:eastAsia="en-IN" w:bidi="hi-IN"/>
              </w:rPr>
              <w:t>₹</w:t>
            </w:r>
            <w:r w:rsidRPr="00A0021C">
              <w:rPr>
                <w:rFonts w:ascii="Palatino Linotype" w:eastAsia="Times New Roman" w:hAnsi="Palatino Linotype"/>
                <w:b/>
                <w:bCs/>
                <w:sz w:val="18"/>
                <w:szCs w:val="18"/>
                <w:lang w:val="en-IN" w:eastAsia="en-IN" w:bidi="hi-IN"/>
              </w:rPr>
              <w:t xml:space="preserve"> crore)</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1,74,14,860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1,88,03,519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8.0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NSE</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1,72,71,314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1,86,46,769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8.0 </w:t>
            </w:r>
          </w:p>
        </w:tc>
      </w:tr>
      <w:tr w:rsidR="00DD68D0" w:rsidRPr="00A0021C" w:rsidTr="00932FDF">
        <w:trPr>
          <w:trHeight w:val="315"/>
        </w:trPr>
        <w:tc>
          <w:tcPr>
            <w:tcW w:w="2620" w:type="dxa"/>
            <w:tcBorders>
              <w:top w:val="nil"/>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P/E Ratio</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Sensex</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Default="00DD68D0" w:rsidP="00932FDF">
            <w:pPr>
              <w:jc w:val="right"/>
              <w:rPr>
                <w:rFonts w:ascii="Palatino Linotype" w:hAnsi="Palatino Linotype"/>
                <w:sz w:val="20"/>
                <w:szCs w:val="20"/>
                <w:lang w:val="en-IN" w:eastAsia="en-IN" w:bidi="hi-IN"/>
              </w:rPr>
            </w:pPr>
            <w:r>
              <w:rPr>
                <w:rFonts w:ascii="Palatino Linotype" w:hAnsi="Palatino Linotype"/>
                <w:sz w:val="20"/>
                <w:szCs w:val="20"/>
              </w:rPr>
              <w:t xml:space="preserve">                      31.5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Default="00DD68D0" w:rsidP="00932FDF">
            <w:pPr>
              <w:jc w:val="right"/>
              <w:rPr>
                <w:rFonts w:ascii="Palatino Linotype" w:hAnsi="Palatino Linotype"/>
                <w:sz w:val="20"/>
                <w:szCs w:val="20"/>
              </w:rPr>
            </w:pPr>
            <w:r>
              <w:rPr>
                <w:rFonts w:ascii="Palatino Linotype" w:hAnsi="Palatino Linotype"/>
                <w:sz w:val="20"/>
                <w:szCs w:val="20"/>
              </w:rPr>
              <w:t xml:space="preserve">                      33.5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6.4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Nifty 50</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Default="00DD68D0" w:rsidP="00932FDF">
            <w:pPr>
              <w:jc w:val="right"/>
              <w:rPr>
                <w:rFonts w:ascii="Palatino Linotype" w:hAnsi="Palatino Linotype"/>
                <w:sz w:val="20"/>
                <w:szCs w:val="20"/>
              </w:rPr>
            </w:pPr>
            <w:r>
              <w:rPr>
                <w:rFonts w:ascii="Palatino Linotype" w:hAnsi="Palatino Linotype"/>
                <w:sz w:val="20"/>
                <w:szCs w:val="20"/>
              </w:rPr>
              <w:t xml:space="preserve">                      35.7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Default="00DD68D0" w:rsidP="00932FDF">
            <w:pPr>
              <w:jc w:val="right"/>
              <w:rPr>
                <w:rFonts w:ascii="Palatino Linotype" w:hAnsi="Palatino Linotype"/>
                <w:sz w:val="20"/>
                <w:szCs w:val="20"/>
              </w:rPr>
            </w:pPr>
            <w:r>
              <w:rPr>
                <w:rFonts w:ascii="Palatino Linotype" w:hAnsi="Palatino Linotype"/>
                <w:sz w:val="20"/>
                <w:szCs w:val="20"/>
              </w:rPr>
              <w:t xml:space="preserve">                      38.5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7.8 </w:t>
            </w:r>
          </w:p>
        </w:tc>
      </w:tr>
      <w:tr w:rsidR="00DD68D0" w:rsidRPr="00A0021C" w:rsidTr="00932FDF">
        <w:trPr>
          <w:trHeight w:val="315"/>
        </w:trPr>
        <w:tc>
          <w:tcPr>
            <w:tcW w:w="2620" w:type="dxa"/>
            <w:tcBorders>
              <w:top w:val="nil"/>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No of Listed Companies</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5,442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5,454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0.2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NSE</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1,959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                    1,962 </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0.2 </w:t>
            </w:r>
          </w:p>
        </w:tc>
      </w:tr>
      <w:tr w:rsidR="00DD68D0" w:rsidRPr="00A0021C" w:rsidTr="00932FDF">
        <w:trPr>
          <w:trHeight w:val="315"/>
        </w:trPr>
        <w:tc>
          <w:tcPr>
            <w:tcW w:w="4100"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Gross Turnover in Equity Segment (</w:t>
            </w:r>
            <w:r w:rsidRPr="00A0021C">
              <w:rPr>
                <w:rFonts w:ascii="Times New Roman" w:eastAsia="Times New Roman" w:hAnsi="Times New Roman"/>
                <w:b/>
                <w:bCs/>
                <w:sz w:val="18"/>
                <w:szCs w:val="18"/>
                <w:lang w:val="en-IN" w:eastAsia="en-IN" w:bidi="hi-IN"/>
              </w:rPr>
              <w:t>₹</w:t>
            </w:r>
            <w:r w:rsidRPr="00A0021C">
              <w:rPr>
                <w:rFonts w:ascii="Palatino Linotype" w:eastAsia="Times New Roman" w:hAnsi="Palatino Linotype"/>
                <w:b/>
                <w:bCs/>
                <w:sz w:val="18"/>
                <w:szCs w:val="18"/>
                <w:lang w:val="en-IN" w:eastAsia="en-IN" w:bidi="hi-IN"/>
              </w:rPr>
              <w:t xml:space="preserve"> crore)</w:t>
            </w:r>
          </w:p>
        </w:tc>
        <w:tc>
          <w:tcPr>
            <w:tcW w:w="1480" w:type="dxa"/>
            <w:tcBorders>
              <w:top w:val="nil"/>
              <w:left w:val="nil"/>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70,676</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99,415</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40.7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color w:val="000000"/>
                <w:sz w:val="18"/>
                <w:szCs w:val="18"/>
                <w:lang w:val="en-IN" w:eastAsia="en-IN" w:bidi="hi-IN"/>
              </w:rPr>
            </w:pPr>
            <w:r w:rsidRPr="00A0021C">
              <w:rPr>
                <w:rFonts w:ascii="Palatino Linotype" w:eastAsia="Times New Roman" w:hAnsi="Palatino Linotype"/>
                <w:color w:val="000000"/>
                <w:sz w:val="18"/>
                <w:szCs w:val="18"/>
                <w:lang w:val="en-IN" w:eastAsia="en-IN" w:bidi="hi-IN"/>
              </w:rPr>
              <w:t>NSE</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color w:val="000000"/>
                <w:sz w:val="18"/>
                <w:szCs w:val="18"/>
                <w:lang w:val="en-IN" w:eastAsia="en-IN" w:bidi="hi-IN"/>
              </w:rPr>
            </w:pPr>
            <w:r w:rsidRPr="00A0021C">
              <w:rPr>
                <w:rFonts w:ascii="Palatino Linotype" w:eastAsia="Times New Roman" w:hAnsi="Palatino Linotype"/>
                <w:color w:val="000000"/>
                <w:sz w:val="18"/>
                <w:szCs w:val="18"/>
                <w:lang w:val="en-IN" w:eastAsia="en-IN" w:bidi="hi-IN"/>
              </w:rPr>
              <w:t>13,37,272</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color w:val="000000"/>
                <w:sz w:val="18"/>
                <w:szCs w:val="18"/>
                <w:lang w:val="en-IN" w:eastAsia="en-IN" w:bidi="hi-IN"/>
              </w:rPr>
            </w:pPr>
            <w:r w:rsidRPr="00A0021C">
              <w:rPr>
                <w:rFonts w:ascii="Palatino Linotype" w:eastAsia="Times New Roman" w:hAnsi="Palatino Linotype"/>
                <w:color w:val="000000"/>
                <w:sz w:val="18"/>
                <w:szCs w:val="18"/>
                <w:lang w:val="en-IN" w:eastAsia="en-IN" w:bidi="hi-IN"/>
              </w:rPr>
              <w:t>13,74,552</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2.8 </w:t>
            </w:r>
          </w:p>
        </w:tc>
      </w:tr>
      <w:tr w:rsidR="00DD68D0" w:rsidRPr="00A0021C" w:rsidTr="00932FDF">
        <w:trPr>
          <w:trHeight w:val="315"/>
        </w:trPr>
        <w:tc>
          <w:tcPr>
            <w:tcW w:w="5580"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Gross Turnover in Equity Derivatives Segment (</w:t>
            </w:r>
            <w:r w:rsidRPr="00A0021C">
              <w:rPr>
                <w:rFonts w:ascii="Times New Roman" w:eastAsia="Times New Roman" w:hAnsi="Times New Roman"/>
                <w:b/>
                <w:bCs/>
                <w:sz w:val="18"/>
                <w:szCs w:val="18"/>
                <w:lang w:val="en-IN" w:eastAsia="en-IN" w:bidi="hi-IN"/>
              </w:rPr>
              <w:t>₹</w:t>
            </w:r>
            <w:r w:rsidRPr="00A0021C">
              <w:rPr>
                <w:rFonts w:ascii="Palatino Linotype" w:eastAsia="Times New Roman" w:hAnsi="Palatino Linotype"/>
                <w:b/>
                <w:bCs/>
                <w:sz w:val="18"/>
                <w:szCs w:val="18"/>
                <w:lang w:val="en-IN" w:eastAsia="en-IN" w:bidi="hi-IN"/>
              </w:rPr>
              <w:t xml:space="preserve"> crore)</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43,78,494</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49,02,205</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12.0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NSE</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5,68,89,565</w:t>
            </w:r>
          </w:p>
        </w:tc>
        <w:tc>
          <w:tcPr>
            <w:tcW w:w="148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6,72,62,248</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18.2 </w:t>
            </w:r>
          </w:p>
        </w:tc>
      </w:tr>
      <w:tr w:rsidR="00DD68D0" w:rsidRPr="00A0021C" w:rsidTr="00932FDF">
        <w:trPr>
          <w:trHeight w:val="315"/>
        </w:trPr>
        <w:tc>
          <w:tcPr>
            <w:tcW w:w="5580"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Gross Turnover in Currency Derivatives Segment (</w:t>
            </w:r>
            <w:r w:rsidRPr="00A0021C">
              <w:rPr>
                <w:rFonts w:ascii="Times New Roman" w:eastAsia="Times New Roman" w:hAnsi="Times New Roman"/>
                <w:b/>
                <w:bCs/>
                <w:sz w:val="18"/>
                <w:szCs w:val="18"/>
                <w:lang w:val="en-IN" w:eastAsia="en-IN" w:bidi="hi-IN"/>
              </w:rPr>
              <w:t>₹</w:t>
            </w:r>
            <w:r w:rsidRPr="00A0021C">
              <w:rPr>
                <w:rFonts w:ascii="Palatino Linotype" w:eastAsia="Times New Roman" w:hAnsi="Palatino Linotype"/>
                <w:b/>
                <w:bCs/>
                <w:sz w:val="18"/>
                <w:szCs w:val="18"/>
                <w:lang w:val="en-IN" w:eastAsia="en-IN" w:bidi="hi-IN"/>
              </w:rPr>
              <w:t xml:space="preserve"> crore)</w:t>
            </w:r>
          </w:p>
        </w:tc>
        <w:tc>
          <w:tcPr>
            <w:tcW w:w="1760" w:type="dxa"/>
            <w:tcBorders>
              <w:top w:val="nil"/>
              <w:left w:val="nil"/>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4,02,247</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4,96,941</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23.5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NSE</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10,24,112</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11,60,619</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13.3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MSEI</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12,345</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14,310</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15.9 </w:t>
            </w:r>
          </w:p>
        </w:tc>
      </w:tr>
      <w:tr w:rsidR="00DD68D0" w:rsidRPr="00A0021C" w:rsidTr="00932FDF">
        <w:trPr>
          <w:trHeight w:val="315"/>
        </w:trPr>
        <w:tc>
          <w:tcPr>
            <w:tcW w:w="7340"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DD68D0" w:rsidRPr="00A0021C" w:rsidRDefault="00DD68D0" w:rsidP="00932FDF">
            <w:pPr>
              <w:rPr>
                <w:rFonts w:ascii="Palatino Linotype" w:eastAsia="Times New Roman" w:hAnsi="Palatino Linotype"/>
                <w:b/>
                <w:bCs/>
                <w:sz w:val="18"/>
                <w:szCs w:val="18"/>
                <w:lang w:val="en-IN" w:eastAsia="en-IN" w:bidi="hi-IN"/>
              </w:rPr>
            </w:pPr>
            <w:r w:rsidRPr="00A0021C">
              <w:rPr>
                <w:rFonts w:ascii="Palatino Linotype" w:eastAsia="Times New Roman" w:hAnsi="Palatino Linotype"/>
                <w:b/>
                <w:bCs/>
                <w:sz w:val="18"/>
                <w:szCs w:val="18"/>
                <w:lang w:val="en-IN" w:eastAsia="en-IN" w:bidi="hi-IN"/>
              </w:rPr>
              <w:t>Gross Turnover in Interest Rate Derivatives Segment (</w:t>
            </w:r>
            <w:r w:rsidRPr="00A0021C">
              <w:rPr>
                <w:rFonts w:ascii="Times New Roman" w:eastAsia="Times New Roman" w:hAnsi="Times New Roman"/>
                <w:b/>
                <w:bCs/>
                <w:sz w:val="18"/>
                <w:szCs w:val="18"/>
                <w:lang w:val="en-IN" w:eastAsia="en-IN" w:bidi="hi-IN"/>
              </w:rPr>
              <w:t>₹</w:t>
            </w:r>
            <w:r w:rsidRPr="00A0021C">
              <w:rPr>
                <w:rFonts w:ascii="Palatino Linotype" w:eastAsia="Times New Roman" w:hAnsi="Palatino Linotype"/>
                <w:b/>
                <w:bCs/>
                <w:sz w:val="18"/>
                <w:szCs w:val="18"/>
                <w:lang w:val="en-IN" w:eastAsia="en-IN" w:bidi="hi-IN"/>
              </w:rPr>
              <w:t xml:space="preserve"> crore)</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BSE </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3,284</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1,087</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155728" w:rsidRDefault="00DD68D0" w:rsidP="00932FDF">
            <w:pPr>
              <w:jc w:val="right"/>
              <w:rPr>
                <w:rFonts w:ascii="Palatino Linotype" w:eastAsia="Times New Roman" w:hAnsi="Palatino Linotype"/>
                <w:color w:val="000000"/>
                <w:sz w:val="18"/>
                <w:szCs w:val="18"/>
                <w:lang w:val="en-IN" w:eastAsia="en-IN" w:bidi="hi-IN"/>
              </w:rPr>
            </w:pPr>
            <w:r w:rsidRPr="00155728">
              <w:rPr>
                <w:rFonts w:ascii="Palatino Linotype" w:eastAsia="Times New Roman" w:hAnsi="Palatino Linotype"/>
                <w:color w:val="000000"/>
                <w:sz w:val="18"/>
                <w:szCs w:val="18"/>
                <w:lang w:val="en-IN" w:eastAsia="en-IN" w:bidi="hi-IN"/>
              </w:rPr>
              <w:t xml:space="preserve">-66.9 </w:t>
            </w:r>
          </w:p>
        </w:tc>
      </w:tr>
      <w:tr w:rsidR="00DD68D0" w:rsidRPr="00A0021C" w:rsidTr="00932FDF">
        <w:trPr>
          <w:trHeight w:val="315"/>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DD68D0" w:rsidRPr="00A0021C" w:rsidRDefault="00DD68D0" w:rsidP="00932FDF">
            <w:pPr>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NSE</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3,735</w:t>
            </w:r>
          </w:p>
        </w:tc>
        <w:tc>
          <w:tcPr>
            <w:tcW w:w="1480" w:type="dxa"/>
            <w:tcBorders>
              <w:top w:val="nil"/>
              <w:left w:val="nil"/>
              <w:bottom w:val="single" w:sz="4" w:space="0" w:color="000000"/>
              <w:right w:val="single" w:sz="4" w:space="0" w:color="000000"/>
            </w:tcBorders>
            <w:shd w:val="clear" w:color="FFFFFF" w:fill="FFFFFF"/>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5,464</w:t>
            </w:r>
          </w:p>
        </w:tc>
        <w:tc>
          <w:tcPr>
            <w:tcW w:w="1760" w:type="dxa"/>
            <w:tcBorders>
              <w:top w:val="nil"/>
              <w:left w:val="nil"/>
              <w:bottom w:val="single" w:sz="4" w:space="0" w:color="000000"/>
              <w:right w:val="single" w:sz="4" w:space="0" w:color="000000"/>
            </w:tcBorders>
            <w:shd w:val="clear" w:color="auto" w:fill="auto"/>
            <w:noWrap/>
            <w:vAlign w:val="bottom"/>
            <w:hideMark/>
          </w:tcPr>
          <w:p w:rsidR="00DD68D0" w:rsidRPr="00A0021C" w:rsidRDefault="00DD68D0" w:rsidP="00932FDF">
            <w:pPr>
              <w:jc w:val="right"/>
              <w:rPr>
                <w:rFonts w:ascii="Palatino Linotype" w:eastAsia="Times New Roman" w:hAnsi="Palatino Linotype"/>
                <w:sz w:val="18"/>
                <w:szCs w:val="18"/>
                <w:lang w:val="en-IN" w:eastAsia="en-IN" w:bidi="hi-IN"/>
              </w:rPr>
            </w:pPr>
            <w:r w:rsidRPr="00A0021C">
              <w:rPr>
                <w:rFonts w:ascii="Palatino Linotype" w:eastAsia="Times New Roman" w:hAnsi="Palatino Linotype"/>
                <w:sz w:val="18"/>
                <w:szCs w:val="18"/>
                <w:lang w:val="en-IN" w:eastAsia="en-IN" w:bidi="hi-IN"/>
              </w:rPr>
              <w:t xml:space="preserve">46.3 </w:t>
            </w:r>
          </w:p>
        </w:tc>
      </w:tr>
    </w:tbl>
    <w:p w:rsidR="00DD68D0" w:rsidRPr="003105AF" w:rsidRDefault="00DD68D0" w:rsidP="00DD68D0">
      <w:pPr>
        <w:spacing w:line="276" w:lineRule="auto"/>
        <w:rPr>
          <w:rFonts w:ascii="Palatino Linotype" w:eastAsia="Palatino Linotype" w:hAnsi="Palatino Linotype" w:cs="Palatino Linotype"/>
          <w:b/>
          <w:color w:val="2E74B5"/>
          <w:sz w:val="22"/>
          <w:szCs w:val="22"/>
          <w:highlight w:val="yellow"/>
        </w:rPr>
      </w:pPr>
      <w:r w:rsidRPr="003105AF">
        <w:rPr>
          <w:rFonts w:ascii="Palatino Linotype" w:eastAsia="Palatino Linotype" w:hAnsi="Palatino Linotype" w:cs="Palatino Linotype"/>
          <w:b/>
          <w:color w:val="2E74B5"/>
          <w:sz w:val="22"/>
          <w:szCs w:val="22"/>
          <w:highlight w:val="yellow"/>
        </w:rPr>
        <w:br w:type="page"/>
      </w:r>
    </w:p>
    <w:p w:rsidR="00DD68D0" w:rsidRPr="00A02210"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A02210">
        <w:rPr>
          <w:rFonts w:ascii="Palatino Linotype" w:eastAsia="Palatino Linotype" w:hAnsi="Palatino Linotype" w:cs="Palatino Linotype"/>
          <w:b/>
          <w:sz w:val="22"/>
          <w:szCs w:val="22"/>
        </w:rPr>
        <w:t>Figure 1: Movement of S&amp;P BSE Sensex and Nifty 50 during December 2020</w:t>
      </w:r>
    </w:p>
    <w:p w:rsidR="00DD68D0" w:rsidRPr="003105AF" w:rsidRDefault="00DD68D0" w:rsidP="00DD68D0">
      <w:pPr>
        <w:spacing w:line="276" w:lineRule="auto"/>
        <w:jc w:val="center"/>
        <w:rPr>
          <w:rFonts w:ascii="Palatino Linotype" w:eastAsia="Palatino Linotype" w:hAnsi="Palatino Linotype" w:cs="Palatino Linotype"/>
          <w:bCs/>
          <w:sz w:val="18"/>
          <w:szCs w:val="18"/>
          <w:highlight w:val="yellow"/>
        </w:rPr>
      </w:pPr>
    </w:p>
    <w:p w:rsidR="00DD68D0" w:rsidRPr="003105AF" w:rsidRDefault="00DD68D0" w:rsidP="00DD68D0">
      <w:pPr>
        <w:spacing w:line="276" w:lineRule="auto"/>
        <w:ind w:left="720"/>
        <w:rPr>
          <w:rFonts w:ascii="Palatino Linotype" w:eastAsia="Palatino Linotype" w:hAnsi="Palatino Linotype" w:cs="Palatino Linotype"/>
          <w:bCs/>
          <w:sz w:val="18"/>
          <w:szCs w:val="18"/>
          <w:highlight w:val="yellow"/>
        </w:rPr>
      </w:pPr>
      <w:r w:rsidRPr="000A4274">
        <w:rPr>
          <w:noProof/>
          <w:lang w:val="en-IN" w:eastAsia="en-IN" w:bidi="hi-IN"/>
        </w:rPr>
        <w:drawing>
          <wp:inline distT="0" distB="0" distL="0" distR="0">
            <wp:extent cx="4568825" cy="2740025"/>
            <wp:effectExtent l="0" t="0" r="3175" b="3175"/>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68D0" w:rsidRPr="00A02210" w:rsidRDefault="00DD68D0" w:rsidP="00DD68D0">
      <w:pPr>
        <w:spacing w:line="276" w:lineRule="auto"/>
        <w:ind w:left="720"/>
        <w:rPr>
          <w:rFonts w:ascii="Palatino Linotype" w:eastAsia="Palatino Linotype" w:hAnsi="Palatino Linotype" w:cs="Palatino Linotype"/>
          <w:bCs/>
          <w:sz w:val="18"/>
          <w:szCs w:val="18"/>
        </w:rPr>
      </w:pPr>
    </w:p>
    <w:p w:rsidR="00DD68D0" w:rsidRPr="00023C89" w:rsidRDefault="00DD68D0" w:rsidP="00DD68D0">
      <w:pPr>
        <w:spacing w:line="276" w:lineRule="auto"/>
        <w:ind w:left="720"/>
        <w:rPr>
          <w:rFonts w:ascii="Palatino Linotype" w:eastAsia="Palatino Linotype" w:hAnsi="Palatino Linotype" w:cs="Palatino Linotype"/>
          <w:bCs/>
          <w:i/>
          <w:iCs/>
          <w:sz w:val="18"/>
          <w:szCs w:val="18"/>
        </w:rPr>
      </w:pPr>
      <w:r w:rsidRPr="00023C89">
        <w:rPr>
          <w:rFonts w:ascii="Palatino Linotype" w:eastAsia="Palatino Linotype" w:hAnsi="Palatino Linotype" w:cs="Palatino Linotype"/>
          <w:bCs/>
          <w:i/>
          <w:iCs/>
          <w:sz w:val="18"/>
          <w:szCs w:val="18"/>
        </w:rPr>
        <w:t xml:space="preserve">Note: The closing values of Nifty 50 and Sensex have been rebased with respective closing values of first day of the month. </w:t>
      </w:r>
    </w:p>
    <w:p w:rsidR="00DD68D0" w:rsidRPr="00A0021C" w:rsidRDefault="00DD68D0" w:rsidP="00DD68D0">
      <w:pPr>
        <w:spacing w:line="276" w:lineRule="auto"/>
        <w:rPr>
          <w:rFonts w:ascii="Palatino Linotype" w:eastAsia="Palatino Linotype" w:hAnsi="Palatino Linotype" w:cs="Palatino Linotype"/>
          <w:b/>
          <w:sz w:val="22"/>
          <w:szCs w:val="22"/>
        </w:rPr>
      </w:pPr>
    </w:p>
    <w:p w:rsidR="00DD68D0" w:rsidRPr="00A0021C"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0021C">
        <w:rPr>
          <w:rFonts w:ascii="Palatino Linotype" w:eastAsia="Palatino Linotype" w:hAnsi="Palatino Linotype" w:cs="Palatino Linotype"/>
          <w:sz w:val="22"/>
          <w:szCs w:val="22"/>
        </w:rPr>
        <w:t xml:space="preserve">The market capitalisation of both the BSE and NSE registered an increase of 8.0 per cent each over the level as at the end of last month.  </w:t>
      </w:r>
    </w:p>
    <w:p w:rsidR="00DD68D0" w:rsidRPr="003105AF" w:rsidRDefault="00DD68D0" w:rsidP="00DD68D0">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9F4C6C">
        <w:rPr>
          <w:rFonts w:ascii="Palatino Linotype" w:eastAsia="Palatino Linotype" w:hAnsi="Palatino Linotype" w:cs="Palatino Linotype"/>
          <w:b/>
          <w:sz w:val="22"/>
          <w:szCs w:val="22"/>
        </w:rPr>
        <w:t>Figure 2: Trends in Average Daily Values of Nifty 50 and NSE Equity Cash Segment Turnover</w:t>
      </w: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166EA0">
        <w:rPr>
          <w:noProof/>
          <w:lang w:val="en-IN" w:eastAsia="en-IN" w:bidi="hi-IN"/>
        </w:rPr>
        <w:drawing>
          <wp:inline distT="0" distB="0" distL="0" distR="0">
            <wp:extent cx="6103620" cy="2700020"/>
            <wp:effectExtent l="0" t="0" r="11430" b="508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DD68D0" w:rsidRPr="003105AF" w:rsidRDefault="00DD68D0" w:rsidP="00DD68D0">
      <w:pPr>
        <w:spacing w:line="276" w:lineRule="auto"/>
        <w:rPr>
          <w:rFonts w:ascii="Palatino Linotype" w:eastAsia="Palatino Linotype" w:hAnsi="Palatino Linotype" w:cs="Palatino Linotype"/>
          <w:b/>
          <w:color w:val="2E74B5"/>
          <w:sz w:val="22"/>
          <w:szCs w:val="22"/>
          <w:highlight w:val="yellow"/>
        </w:rPr>
      </w:pPr>
      <w:r w:rsidRPr="003105AF">
        <w:rPr>
          <w:rFonts w:ascii="Palatino Linotype" w:eastAsia="Palatino Linotype" w:hAnsi="Palatino Linotype" w:cs="Palatino Linotype"/>
          <w:b/>
          <w:color w:val="2E74B5"/>
          <w:sz w:val="22"/>
          <w:szCs w:val="22"/>
          <w:highlight w:val="yellow"/>
        </w:rPr>
        <w:br w:type="page"/>
      </w:r>
    </w:p>
    <w:p w:rsidR="00DD68D0" w:rsidRPr="009F4C6C"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9F4C6C">
        <w:rPr>
          <w:rFonts w:ascii="Palatino Linotype" w:eastAsia="Palatino Linotype" w:hAnsi="Palatino Linotype" w:cs="Palatino Linotype"/>
          <w:b/>
          <w:sz w:val="22"/>
          <w:szCs w:val="22"/>
        </w:rPr>
        <w:t>Figure 3: Trends in Average Daily Values of S&amp;P BSE Sensex and BSE Equity Cash Segment Turnover</w:t>
      </w:r>
    </w:p>
    <w:p w:rsidR="00DD68D0" w:rsidRPr="003105A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9F4C6C">
        <w:rPr>
          <w:noProof/>
          <w:lang w:val="en-IN" w:eastAsia="en-IN" w:bidi="hi-IN"/>
        </w:rPr>
        <w:drawing>
          <wp:inline distT="0" distB="0" distL="0" distR="0">
            <wp:extent cx="6190615" cy="2951480"/>
            <wp:effectExtent l="0" t="0" r="635" b="127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68D0" w:rsidRPr="00992D2B" w:rsidRDefault="00DD68D0" w:rsidP="00DD68D0">
      <w:pPr>
        <w:spacing w:line="276" w:lineRule="auto"/>
        <w:jc w:val="both"/>
        <w:rPr>
          <w:rFonts w:ascii="Palatino Linotype" w:eastAsia="Palatino Linotype" w:hAnsi="Palatino Linotype" w:cs="Palatino Linotype"/>
          <w:color w:val="2E74B5"/>
          <w:sz w:val="22"/>
          <w:szCs w:val="22"/>
        </w:rPr>
      </w:pPr>
    </w:p>
    <w:p w:rsidR="00DD68D0" w:rsidRPr="00741223"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41223">
        <w:rPr>
          <w:rFonts w:ascii="Palatino Linotype" w:eastAsia="Palatino Linotype" w:hAnsi="Palatino Linotype" w:cs="Palatino Linotype"/>
          <w:sz w:val="22"/>
          <w:szCs w:val="22"/>
        </w:rPr>
        <w:t xml:space="preserve">During December 2020, the gross turnover in the equity cash segments, both at BSE and NSE, grew by 40.7 per cent and 2.8 per cent, respectively. </w:t>
      </w:r>
    </w:p>
    <w:p w:rsidR="00DD68D0" w:rsidRPr="00741223"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D68D0" w:rsidRPr="00741223"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41223">
        <w:rPr>
          <w:rFonts w:ascii="Palatino Linotype" w:eastAsia="Palatino Linotype" w:hAnsi="Palatino Linotype" w:cs="Palatino Linotype"/>
          <w:sz w:val="22"/>
          <w:szCs w:val="22"/>
        </w:rPr>
        <w:t>During December 2020, the select BSE indices, referred to in Figure 4, posted positive returns.  Amongst these, S&amp;P BSE Consumer Durables increased by 12.6 per cent, followed by S&amp;P BSE Metal (11.8 per cent) and S&amp;P BSE Capital Goods (9.3 per cent), over the previous month.   S&amp;P BSE Power (2.2 per cent) grew the least amongst these, followed by S&amp;P BSE Healthcare (5.2 per cent) S&amp;P BSE Bankex (5.3 per cent).   The average daily volatility and monthly returns for these select BSE indices for December 2020 are illustrated in Figure 4.</w:t>
      </w:r>
    </w:p>
    <w:p w:rsidR="00DD68D0" w:rsidRPr="00B266A3" w:rsidRDefault="00DD68D0" w:rsidP="00DD68D0">
      <w:pPr>
        <w:spacing w:line="276" w:lineRule="auto"/>
        <w:jc w:val="both"/>
        <w:rPr>
          <w:rFonts w:ascii="Palatino Linotype" w:eastAsia="Palatino Linotype" w:hAnsi="Palatino Linotype" w:cs="Palatino Linotype"/>
          <w:b/>
          <w:sz w:val="22"/>
          <w:szCs w:val="22"/>
        </w:rPr>
      </w:pPr>
    </w:p>
    <w:p w:rsidR="00DD68D0" w:rsidRPr="00B266A3" w:rsidRDefault="00DD68D0" w:rsidP="00DD68D0">
      <w:pPr>
        <w:spacing w:line="276" w:lineRule="auto"/>
        <w:jc w:val="center"/>
        <w:rPr>
          <w:rFonts w:ascii="Palatino Linotype" w:eastAsia="Palatino Linotype" w:hAnsi="Palatino Linotype" w:cs="Palatino Linotype"/>
          <w:b/>
          <w:sz w:val="22"/>
          <w:szCs w:val="22"/>
        </w:rPr>
      </w:pPr>
      <w:r w:rsidRPr="00B266A3">
        <w:rPr>
          <w:rFonts w:ascii="Palatino Linotype" w:eastAsia="Palatino Linotype" w:hAnsi="Palatino Linotype" w:cs="Palatino Linotype"/>
          <w:b/>
          <w:sz w:val="22"/>
          <w:szCs w:val="22"/>
        </w:rPr>
        <w:t>Figure 4: Performance of select BSE Indices during December 2020 (per cent)</w:t>
      </w:r>
    </w:p>
    <w:p w:rsidR="00DD68D0" w:rsidRPr="003105AF" w:rsidRDefault="00DD68D0" w:rsidP="00DD68D0">
      <w:pPr>
        <w:spacing w:line="276" w:lineRule="auto"/>
        <w:jc w:val="center"/>
        <w:rPr>
          <w:rFonts w:ascii="Palatino Linotype" w:eastAsia="Palatino Linotype" w:hAnsi="Palatino Linotype" w:cs="Palatino Linotype"/>
          <w:b/>
          <w:color w:val="2E74B5"/>
          <w:sz w:val="22"/>
          <w:szCs w:val="22"/>
          <w:highlight w:val="yellow"/>
        </w:rPr>
      </w:pPr>
      <w:r w:rsidRPr="00B266A3">
        <w:rPr>
          <w:noProof/>
          <w:lang w:val="en-IN" w:eastAsia="en-IN" w:bidi="hi-IN"/>
        </w:rPr>
        <w:drawing>
          <wp:inline distT="0" distB="0" distL="0" distR="0">
            <wp:extent cx="6159500" cy="2597150"/>
            <wp:effectExtent l="0" t="0" r="12700" b="1270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68D0" w:rsidRPr="003105AF" w:rsidRDefault="00DD68D0" w:rsidP="00DD68D0">
      <w:pPr>
        <w:spacing w:line="276" w:lineRule="auto"/>
        <w:jc w:val="center"/>
        <w:rPr>
          <w:rFonts w:ascii="Palatino Linotype" w:eastAsia="Palatino Linotype" w:hAnsi="Palatino Linotype" w:cs="Palatino Linotype"/>
          <w:b/>
          <w:color w:val="2E74B5"/>
          <w:sz w:val="22"/>
          <w:szCs w:val="22"/>
          <w:highlight w:val="yellow"/>
        </w:rPr>
      </w:pPr>
    </w:p>
    <w:p w:rsidR="00DD68D0" w:rsidRPr="003105AF" w:rsidRDefault="00DD68D0" w:rsidP="00DD68D0">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DD68D0" w:rsidRPr="0058677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586775">
        <w:rPr>
          <w:rFonts w:ascii="Palatino Linotype" w:eastAsia="Palatino Linotype" w:hAnsi="Palatino Linotype" w:cs="Palatino Linotype"/>
          <w:sz w:val="22"/>
          <w:szCs w:val="22"/>
        </w:rPr>
        <w:t>Similarly, the select indices of the NSE, referred to in Figure 5, too posted positive returns.  Amongst these, Nifty IT increased by 9.4 per cent, followed by Nifty PSU Bank (9.3 per cent) and Nifty FMCG (7.8 per cent), over the previous month.   Nifty MNC (4.6 per cent) grew the least amongst these, followed by Nifty Midcap 100 (4.7 per cent) and Nifty Bank (4.9 per cent).  The average daily volatility and monthly returns of these select NSE indices for December 2020 are illustrated in Figure 5.</w:t>
      </w:r>
    </w:p>
    <w:p w:rsidR="00DD68D0" w:rsidRPr="003105A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DD68D0" w:rsidRPr="00B266A3"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B266A3">
        <w:rPr>
          <w:rFonts w:ascii="Palatino Linotype" w:eastAsia="Palatino Linotype" w:hAnsi="Palatino Linotype" w:cs="Palatino Linotype"/>
          <w:b/>
          <w:sz w:val="22"/>
          <w:szCs w:val="22"/>
        </w:rPr>
        <w:t>Figure 5: Performance of select NSE Indices during December 2020 (per cent)</w:t>
      </w:r>
    </w:p>
    <w:p w:rsidR="00DD68D0" w:rsidRPr="003105A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B266A3">
        <w:rPr>
          <w:noProof/>
          <w:lang w:val="en-IN" w:eastAsia="en-IN" w:bidi="hi-IN"/>
        </w:rPr>
        <w:drawing>
          <wp:inline distT="0" distB="0" distL="0" distR="0">
            <wp:extent cx="6112510" cy="2823845"/>
            <wp:effectExtent l="0" t="0" r="2540" b="1460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68D0" w:rsidRPr="007A2D03" w:rsidRDefault="00DD68D0" w:rsidP="00DD68D0">
      <w:pPr>
        <w:pBdr>
          <w:top w:val="nil"/>
          <w:left w:val="nil"/>
          <w:bottom w:val="nil"/>
          <w:right w:val="nil"/>
          <w:between w:val="nil"/>
        </w:pBdr>
        <w:spacing w:line="276" w:lineRule="auto"/>
        <w:rPr>
          <w:rFonts w:ascii="Palatino Linotype" w:eastAsia="Palatino Linotype" w:hAnsi="Palatino Linotype" w:cs="Palatino Linotype"/>
          <w:b/>
          <w:sz w:val="22"/>
          <w:szCs w:val="22"/>
        </w:rPr>
      </w:pPr>
    </w:p>
    <w:p w:rsidR="00DD68D0" w:rsidRPr="007A2D03" w:rsidRDefault="00DD68D0" w:rsidP="00DD68D0">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7A2D03">
        <w:rPr>
          <w:rFonts w:ascii="Palatino Linotype" w:eastAsia="Palatino Linotype" w:hAnsi="Palatino Linotype" w:cs="Palatino Linotype"/>
          <w:b/>
          <w:sz w:val="22"/>
          <w:szCs w:val="22"/>
        </w:rPr>
        <w:t xml:space="preserve">Trends in Depository Accounts </w:t>
      </w:r>
    </w:p>
    <w:p w:rsidR="00DD68D0" w:rsidRPr="007A2D03"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A2D03">
        <w:rPr>
          <w:rFonts w:ascii="Palatino Linotype" w:eastAsia="Palatino Linotype" w:hAnsi="Palatino Linotype" w:cs="Palatino Linotype"/>
          <w:sz w:val="22"/>
          <w:szCs w:val="22"/>
        </w:rPr>
        <w:t>As at the end of December 2020, there were 209 lakh demat accounts at NSDL and 289 lakh demat accounts at CDSL. Further, till the end of December 2020, 5,647 listed companies were signed up with NSDL and 5,740 listed companies were signed up with CDSL to make their equity holdings available in dematerialised form.</w:t>
      </w:r>
    </w:p>
    <w:p w:rsidR="00DD68D0" w:rsidRPr="003105AF" w:rsidRDefault="00DD68D0" w:rsidP="00DD68D0">
      <w:pPr>
        <w:spacing w:line="276" w:lineRule="auto"/>
        <w:rPr>
          <w:rFonts w:ascii="Palatino Linotype" w:eastAsia="Palatino Linotype" w:hAnsi="Palatino Linotype" w:cs="Palatino Linotype"/>
          <w:b/>
          <w:color w:val="2E74B5"/>
          <w:sz w:val="22"/>
          <w:szCs w:val="22"/>
          <w:highlight w:val="yellow"/>
        </w:rPr>
      </w:pPr>
    </w:p>
    <w:p w:rsidR="00DD68D0" w:rsidRPr="007B01BF" w:rsidRDefault="00DD68D0" w:rsidP="00DD68D0">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7B01BF">
        <w:rPr>
          <w:rFonts w:ascii="Palatino Linotype" w:eastAsia="Palatino Linotype" w:hAnsi="Palatino Linotype" w:cs="Palatino Linotype"/>
          <w:b/>
          <w:sz w:val="22"/>
          <w:szCs w:val="22"/>
        </w:rPr>
        <w:t>Trends in Derivatives Segment</w:t>
      </w:r>
      <w:r w:rsidRPr="007B01BF">
        <w:rPr>
          <w:rFonts w:ascii="Palatino Linotype" w:eastAsia="Palatino Linotype" w:hAnsi="Palatino Linotype" w:cs="Palatino Linotype"/>
          <w:b/>
          <w:sz w:val="22"/>
          <w:szCs w:val="22"/>
        </w:rPr>
        <w:tab/>
      </w:r>
    </w:p>
    <w:p w:rsidR="00DD68D0" w:rsidRPr="007B01BF" w:rsidRDefault="00DD68D0" w:rsidP="00DD68D0">
      <w:pPr>
        <w:widowControl w:val="0"/>
        <w:spacing w:line="276" w:lineRule="auto"/>
        <w:jc w:val="both"/>
        <w:rPr>
          <w:rFonts w:ascii="Palatino Linotype" w:eastAsia="Palatino Linotype" w:hAnsi="Palatino Linotype" w:cs="Palatino Linotype"/>
          <w:sz w:val="22"/>
          <w:szCs w:val="22"/>
        </w:rPr>
      </w:pPr>
    </w:p>
    <w:p w:rsidR="00DD68D0" w:rsidRPr="007B01BF" w:rsidRDefault="00DD68D0" w:rsidP="00DD68D0">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7B01BF">
        <w:rPr>
          <w:rFonts w:ascii="Palatino Linotype" w:eastAsia="Palatino Linotype" w:hAnsi="Palatino Linotype" w:cs="Palatino Linotype"/>
          <w:b/>
          <w:sz w:val="22"/>
          <w:szCs w:val="22"/>
        </w:rPr>
        <w:t>Equity Derivatives</w:t>
      </w:r>
    </w:p>
    <w:p w:rsidR="00DD68D0" w:rsidRPr="007B01BF" w:rsidRDefault="00DD68D0" w:rsidP="00DD68D0">
      <w:pPr>
        <w:widowControl w:val="0"/>
        <w:spacing w:line="276" w:lineRule="auto"/>
        <w:jc w:val="both"/>
        <w:rPr>
          <w:rFonts w:ascii="Palatino Linotype" w:eastAsia="Palatino Linotype" w:hAnsi="Palatino Linotype" w:cs="Palatino Linotype"/>
          <w:b/>
          <w:sz w:val="22"/>
          <w:szCs w:val="22"/>
        </w:rPr>
      </w:pPr>
      <w:r w:rsidRPr="007B01BF">
        <w:rPr>
          <w:rFonts w:ascii="Palatino Linotype" w:eastAsia="Palatino Linotype" w:hAnsi="Palatino Linotype" w:cs="Palatino Linotype"/>
          <w:b/>
          <w:sz w:val="22"/>
          <w:szCs w:val="22"/>
        </w:rPr>
        <w:t>Table 3: Trends in Equity Derivatives Market</w:t>
      </w:r>
    </w:p>
    <w:tbl>
      <w:tblPr>
        <w:tblW w:w="11160" w:type="dxa"/>
        <w:tblInd w:w="-318" w:type="dxa"/>
        <w:tblLook w:val="04A0" w:firstRow="1" w:lastRow="0" w:firstColumn="1" w:lastColumn="0" w:noHBand="0" w:noVBand="1"/>
      </w:tblPr>
      <w:tblGrid>
        <w:gridCol w:w="1960"/>
        <w:gridCol w:w="1693"/>
        <w:gridCol w:w="1693"/>
        <w:gridCol w:w="1234"/>
        <w:gridCol w:w="1504"/>
        <w:gridCol w:w="1551"/>
        <w:gridCol w:w="1525"/>
      </w:tblGrid>
      <w:tr w:rsidR="00DD68D0" w:rsidRPr="007B01BF" w:rsidTr="00932FDF">
        <w:trPr>
          <w:trHeight w:val="255"/>
        </w:trPr>
        <w:tc>
          <w:tcPr>
            <w:tcW w:w="1960" w:type="dxa"/>
            <w:vMerge w:val="restart"/>
            <w:tcBorders>
              <w:top w:val="single" w:sz="4" w:space="0" w:color="auto"/>
              <w:left w:val="single" w:sz="4" w:space="0" w:color="auto"/>
              <w:bottom w:val="single" w:sz="4" w:space="0" w:color="000000"/>
              <w:right w:val="single" w:sz="4" w:space="0" w:color="000000"/>
            </w:tcBorders>
            <w:shd w:val="clear" w:color="8DB3E2" w:fill="95B3D7"/>
            <w:noWrap/>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Description</w:t>
            </w:r>
          </w:p>
        </w:tc>
        <w:tc>
          <w:tcPr>
            <w:tcW w:w="4620" w:type="dxa"/>
            <w:gridSpan w:val="3"/>
            <w:tcBorders>
              <w:top w:val="single" w:sz="4" w:space="0" w:color="auto"/>
              <w:left w:val="nil"/>
              <w:bottom w:val="single" w:sz="4" w:space="0" w:color="000000"/>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NSE</w:t>
            </w:r>
          </w:p>
        </w:tc>
        <w:tc>
          <w:tcPr>
            <w:tcW w:w="4580" w:type="dxa"/>
            <w:gridSpan w:val="3"/>
            <w:tcBorders>
              <w:top w:val="single" w:sz="4" w:space="0" w:color="auto"/>
              <w:left w:val="nil"/>
              <w:bottom w:val="single" w:sz="4" w:space="0" w:color="000000"/>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BSE</w:t>
            </w:r>
          </w:p>
        </w:tc>
      </w:tr>
      <w:tr w:rsidR="00DD68D0" w:rsidRPr="007B01BF" w:rsidTr="00932FDF">
        <w:trPr>
          <w:trHeight w:val="870"/>
        </w:trPr>
        <w:tc>
          <w:tcPr>
            <w:tcW w:w="1960" w:type="dxa"/>
            <w:vMerge/>
            <w:tcBorders>
              <w:top w:val="single" w:sz="4" w:space="0" w:color="auto"/>
              <w:left w:val="single" w:sz="4" w:space="0" w:color="auto"/>
              <w:bottom w:val="single" w:sz="4" w:space="0" w:color="000000"/>
              <w:right w:val="single" w:sz="4" w:space="0" w:color="000000"/>
            </w:tcBorders>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p>
        </w:tc>
        <w:tc>
          <w:tcPr>
            <w:tcW w:w="1693" w:type="dxa"/>
            <w:tcBorders>
              <w:top w:val="nil"/>
              <w:left w:val="nil"/>
              <w:bottom w:val="nil"/>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Nov-20</w:t>
            </w:r>
          </w:p>
        </w:tc>
        <w:tc>
          <w:tcPr>
            <w:tcW w:w="1693" w:type="dxa"/>
            <w:tcBorders>
              <w:top w:val="nil"/>
              <w:left w:val="nil"/>
              <w:bottom w:val="nil"/>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Dec-20</w:t>
            </w:r>
          </w:p>
        </w:tc>
        <w:tc>
          <w:tcPr>
            <w:tcW w:w="1234" w:type="dxa"/>
            <w:tcBorders>
              <w:top w:val="nil"/>
              <w:left w:val="nil"/>
              <w:bottom w:val="nil"/>
              <w:right w:val="single" w:sz="4" w:space="0" w:color="000000"/>
            </w:tcBorders>
            <w:shd w:val="clear" w:color="8DB3E2" w:fill="95B3D7"/>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Per centage Change Over Month</w:t>
            </w:r>
          </w:p>
        </w:tc>
        <w:tc>
          <w:tcPr>
            <w:tcW w:w="1504" w:type="dxa"/>
            <w:tcBorders>
              <w:top w:val="nil"/>
              <w:left w:val="nil"/>
              <w:bottom w:val="nil"/>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Nov-20</w:t>
            </w:r>
          </w:p>
        </w:tc>
        <w:tc>
          <w:tcPr>
            <w:tcW w:w="1551" w:type="dxa"/>
            <w:tcBorders>
              <w:top w:val="nil"/>
              <w:left w:val="nil"/>
              <w:bottom w:val="nil"/>
              <w:right w:val="single" w:sz="4" w:space="0" w:color="000000"/>
            </w:tcBorders>
            <w:shd w:val="clear" w:color="8DB3E2" w:fill="95B3D7"/>
            <w:noWrap/>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Dec-20</w:t>
            </w:r>
          </w:p>
        </w:tc>
        <w:tc>
          <w:tcPr>
            <w:tcW w:w="1525" w:type="dxa"/>
            <w:tcBorders>
              <w:top w:val="nil"/>
              <w:left w:val="nil"/>
              <w:bottom w:val="nil"/>
              <w:right w:val="single" w:sz="4" w:space="0" w:color="auto"/>
            </w:tcBorders>
            <w:shd w:val="clear" w:color="8DB3E2" w:fill="95B3D7"/>
            <w:vAlign w:val="center"/>
            <w:hideMark/>
          </w:tcPr>
          <w:p w:rsidR="00DD68D0" w:rsidRPr="007B01BF" w:rsidRDefault="00DD68D0" w:rsidP="00932FDF">
            <w:pPr>
              <w:jc w:val="cente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Per centage Change Over Month</w:t>
            </w:r>
          </w:p>
        </w:tc>
      </w:tr>
      <w:tr w:rsidR="00DD68D0" w:rsidRPr="007B01BF" w:rsidTr="00932FDF">
        <w:trPr>
          <w:trHeight w:val="285"/>
        </w:trPr>
        <w:tc>
          <w:tcPr>
            <w:tcW w:w="11160" w:type="dxa"/>
            <w:gridSpan w:val="7"/>
            <w:tcBorders>
              <w:top w:val="single" w:sz="4" w:space="0" w:color="000000"/>
              <w:left w:val="single" w:sz="4" w:space="0" w:color="auto"/>
              <w:bottom w:val="single" w:sz="4" w:space="0" w:color="000000"/>
              <w:right w:val="single" w:sz="4" w:space="0" w:color="000000"/>
            </w:tcBorders>
            <w:shd w:val="clear" w:color="FFFFCC" w:fill="FFFFCC"/>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A. Turnover  (</w:t>
            </w:r>
            <w:r w:rsidRPr="007B01BF">
              <w:rPr>
                <w:rFonts w:ascii="Times New Roman" w:eastAsia="Times New Roman" w:hAnsi="Times New Roman"/>
                <w:b/>
                <w:bCs/>
                <w:sz w:val="16"/>
                <w:szCs w:val="16"/>
                <w:lang w:val="en-IN" w:eastAsia="en-IN" w:bidi="hi-IN"/>
              </w:rPr>
              <w:t>₹</w:t>
            </w:r>
            <w:r w:rsidRPr="007B01BF">
              <w:rPr>
                <w:rFonts w:ascii="Palatino Linotype" w:eastAsia="Times New Roman" w:hAnsi="Palatino Linotype"/>
                <w:b/>
                <w:bCs/>
                <w:sz w:val="16"/>
                <w:szCs w:val="16"/>
                <w:lang w:val="en-IN" w:eastAsia="en-IN" w:bidi="hi-IN"/>
              </w:rPr>
              <w:t xml:space="preserve"> crore)</w:t>
            </w:r>
          </w:p>
        </w:tc>
      </w:tr>
      <w:tr w:rsidR="00DD68D0" w:rsidRPr="007B01BF" w:rsidTr="00932FDF">
        <w:trPr>
          <w:trHeight w:val="255"/>
        </w:trPr>
        <w:tc>
          <w:tcPr>
            <w:tcW w:w="1960" w:type="dxa"/>
            <w:tcBorders>
              <w:top w:val="single" w:sz="4" w:space="0" w:color="000000"/>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 Index  Futures</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8,26,340.6 </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6,91,462.7 </w:t>
            </w:r>
          </w:p>
        </w:tc>
        <w:tc>
          <w:tcPr>
            <w:tcW w:w="123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(16.3)</w:t>
            </w:r>
          </w:p>
        </w:tc>
        <w:tc>
          <w:tcPr>
            <w:tcW w:w="150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565.3 </w:t>
            </w:r>
          </w:p>
        </w:tc>
        <w:tc>
          <w:tcPr>
            <w:tcW w:w="1551"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483.9 </w:t>
            </w:r>
          </w:p>
        </w:tc>
        <w:tc>
          <w:tcPr>
            <w:tcW w:w="1525"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(14.4)</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 Options on Index</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2,45,75,846.6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3,07,28,814.8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25.0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24,95,821.6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20,29,265.8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(18.7)</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2,76,19,539.7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3,16,20,338.4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14.5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18,82,107.6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28,72,455.0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52.6 </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(iii) Stock Futures</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15,43,447.1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15,87,988.2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2.9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(iv) Options on Stock</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7,14,625.5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7,62,419.6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6.7 </w:t>
            </w:r>
          </w:p>
        </w:tc>
        <w:tc>
          <w:tcPr>
            <w:tcW w:w="1504"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auto"/>
              <w:bottom w:val="single" w:sz="4" w:space="0" w:color="000000"/>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16,09,765.9 </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18,71,224.3 </w:t>
            </w:r>
          </w:p>
        </w:tc>
        <w:tc>
          <w:tcPr>
            <w:tcW w:w="1234"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16.2 </w:t>
            </w:r>
          </w:p>
        </w:tc>
        <w:tc>
          <w:tcPr>
            <w:tcW w:w="1504"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auto"/>
              <w:bottom w:val="nil"/>
              <w:right w:val="single" w:sz="4" w:space="0" w:color="000000"/>
            </w:tcBorders>
            <w:shd w:val="clear" w:color="C6D9F0" w:fill="95B3D7"/>
            <w:noWrap/>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Total</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5,68,89,565 </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6,72,62,248 </w:t>
            </w:r>
          </w:p>
        </w:tc>
        <w:tc>
          <w:tcPr>
            <w:tcW w:w="1234"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18.2</w:t>
            </w:r>
          </w:p>
        </w:tc>
        <w:tc>
          <w:tcPr>
            <w:tcW w:w="1504"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43,78,494.5 </w:t>
            </w:r>
          </w:p>
        </w:tc>
        <w:tc>
          <w:tcPr>
            <w:tcW w:w="1551"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49,02,204.7 </w:t>
            </w:r>
          </w:p>
        </w:tc>
        <w:tc>
          <w:tcPr>
            <w:tcW w:w="1525" w:type="dxa"/>
            <w:tcBorders>
              <w:top w:val="nil"/>
              <w:left w:val="nil"/>
              <w:bottom w:val="single" w:sz="4" w:space="0" w:color="auto"/>
              <w:right w:val="single" w:sz="4" w:space="0" w:color="auto"/>
            </w:tcBorders>
            <w:shd w:val="clear" w:color="000000" w:fill="95B3D7"/>
            <w:noWrap/>
            <w:vAlign w:val="center"/>
            <w:hideMark/>
          </w:tcPr>
          <w:p w:rsidR="00DD68D0" w:rsidRPr="007B01BF" w:rsidRDefault="00DD68D0" w:rsidP="00932FDF">
            <w:pPr>
              <w:jc w:val="right"/>
              <w:rPr>
                <w:rFonts w:ascii="Palatino Linotype" w:eastAsia="Times New Roman" w:hAnsi="Palatino Linotype"/>
                <w:b/>
                <w:bCs/>
                <w:color w:val="000000"/>
                <w:sz w:val="16"/>
                <w:szCs w:val="16"/>
                <w:lang w:val="en-IN" w:eastAsia="en-IN" w:bidi="hi-IN"/>
              </w:rPr>
            </w:pPr>
            <w:r w:rsidRPr="007B01BF">
              <w:rPr>
                <w:rFonts w:ascii="Palatino Linotype" w:eastAsia="Times New Roman" w:hAnsi="Palatino Linotype"/>
                <w:b/>
                <w:bCs/>
                <w:color w:val="000000"/>
                <w:sz w:val="16"/>
                <w:szCs w:val="16"/>
                <w:lang w:val="en-IN" w:eastAsia="en-IN" w:bidi="hi-IN"/>
              </w:rPr>
              <w:t>12.0</w:t>
            </w:r>
          </w:p>
        </w:tc>
      </w:tr>
      <w:tr w:rsidR="00DD68D0" w:rsidRPr="007B01BF" w:rsidTr="00932FDF">
        <w:trPr>
          <w:trHeight w:val="270"/>
        </w:trPr>
        <w:tc>
          <w:tcPr>
            <w:tcW w:w="11160" w:type="dxa"/>
            <w:gridSpan w:val="7"/>
            <w:tcBorders>
              <w:top w:val="single" w:sz="4" w:space="0" w:color="auto"/>
              <w:left w:val="single" w:sz="4" w:space="0" w:color="auto"/>
              <w:bottom w:val="single" w:sz="4" w:space="0" w:color="auto"/>
              <w:right w:val="single" w:sz="4" w:space="0" w:color="000000"/>
            </w:tcBorders>
            <w:shd w:val="clear" w:color="FFFFCC" w:fill="FFFFCC"/>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B. No. of Contracts </w:t>
            </w:r>
          </w:p>
        </w:tc>
      </w:tr>
      <w:tr w:rsidR="00DD68D0" w:rsidRPr="007B01BF" w:rsidTr="00932FDF">
        <w:trPr>
          <w:trHeight w:val="255"/>
        </w:trPr>
        <w:tc>
          <w:tcPr>
            <w:tcW w:w="1960" w:type="dxa"/>
            <w:tcBorders>
              <w:top w:val="nil"/>
              <w:left w:val="nil"/>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 Index  Futures</w:t>
            </w:r>
          </w:p>
        </w:tc>
        <w:tc>
          <w:tcPr>
            <w:tcW w:w="1693" w:type="dxa"/>
            <w:tcBorders>
              <w:top w:val="single" w:sz="4" w:space="0" w:color="auto"/>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1,05,16,563 </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79,89,064 </w:t>
            </w:r>
          </w:p>
        </w:tc>
        <w:tc>
          <w:tcPr>
            <w:tcW w:w="123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(24.0)</w:t>
            </w:r>
          </w:p>
        </w:tc>
        <w:tc>
          <w:tcPr>
            <w:tcW w:w="150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5,748 </w:t>
            </w:r>
          </w:p>
        </w:tc>
        <w:tc>
          <w:tcPr>
            <w:tcW w:w="1551"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4,575 </w:t>
            </w:r>
          </w:p>
        </w:tc>
        <w:tc>
          <w:tcPr>
            <w:tcW w:w="1525"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(20.4)</w:t>
            </w:r>
          </w:p>
        </w:tc>
      </w:tr>
      <w:tr w:rsidR="00DD68D0" w:rsidRPr="007B01BF" w:rsidTr="00932FDF">
        <w:trPr>
          <w:trHeight w:val="255"/>
        </w:trPr>
        <w:tc>
          <w:tcPr>
            <w:tcW w:w="1960" w:type="dxa"/>
            <w:tcBorders>
              <w:top w:val="nil"/>
              <w:left w:val="nil"/>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 Options on Index</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31,65,63,228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36,49,50,536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15.3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2,87,81,217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2,24,46,596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(22.0)</w:t>
            </w:r>
          </w:p>
        </w:tc>
      </w:tr>
      <w:tr w:rsidR="00DD68D0" w:rsidRPr="007B01BF" w:rsidTr="00932FDF">
        <w:trPr>
          <w:trHeight w:val="255"/>
        </w:trPr>
        <w:tc>
          <w:tcPr>
            <w:tcW w:w="1960" w:type="dxa"/>
            <w:tcBorders>
              <w:top w:val="nil"/>
              <w:left w:val="single" w:sz="4" w:space="0" w:color="000000"/>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34,49,23,632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36,63,57,313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6.2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1,80,12,565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2,54,77,518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41.4 </w:t>
            </w:r>
          </w:p>
        </w:tc>
      </w:tr>
      <w:tr w:rsidR="00DD68D0" w:rsidRPr="007B01BF" w:rsidTr="00932FDF">
        <w:trPr>
          <w:trHeight w:val="255"/>
        </w:trPr>
        <w:tc>
          <w:tcPr>
            <w:tcW w:w="1960" w:type="dxa"/>
            <w:tcBorders>
              <w:top w:val="nil"/>
              <w:left w:val="single" w:sz="4" w:space="0" w:color="000000"/>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(iii) Stock Futures</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2,07,51,860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1,98,41,495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(4.4)</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(iv) Options on Stock</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nil"/>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single" w:sz="4" w:space="0" w:color="auto"/>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95,62,043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96,34,933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0.8 </w:t>
            </w:r>
          </w:p>
        </w:tc>
        <w:tc>
          <w:tcPr>
            <w:tcW w:w="1504"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single" w:sz="4" w:space="0" w:color="000000"/>
              <w:right w:val="nil"/>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single" w:sz="4" w:space="0" w:color="auto"/>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1,98,87,191 </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2,19,05,972 </w:t>
            </w:r>
          </w:p>
        </w:tc>
        <w:tc>
          <w:tcPr>
            <w:tcW w:w="1234"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10.2 </w:t>
            </w:r>
          </w:p>
        </w:tc>
        <w:tc>
          <w:tcPr>
            <w:tcW w:w="1504"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single" w:sz="4" w:space="0" w:color="000000"/>
              <w:right w:val="single" w:sz="4" w:space="0" w:color="000000"/>
            </w:tcBorders>
            <w:shd w:val="clear" w:color="C6D9F0" w:fill="95B3D7"/>
            <w:noWrap/>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Total</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72,22,04,517 </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79,06,79,313 </w:t>
            </w:r>
          </w:p>
        </w:tc>
        <w:tc>
          <w:tcPr>
            <w:tcW w:w="1234"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9.5 </w:t>
            </w:r>
          </w:p>
        </w:tc>
        <w:tc>
          <w:tcPr>
            <w:tcW w:w="1504"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4,67,99,530 </w:t>
            </w:r>
          </w:p>
        </w:tc>
        <w:tc>
          <w:tcPr>
            <w:tcW w:w="1551"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4,79,28,689 </w:t>
            </w:r>
          </w:p>
        </w:tc>
        <w:tc>
          <w:tcPr>
            <w:tcW w:w="1525"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2.4 </w:t>
            </w:r>
          </w:p>
        </w:tc>
      </w:tr>
      <w:tr w:rsidR="00DD68D0" w:rsidRPr="007B01BF" w:rsidTr="00932FDF">
        <w:trPr>
          <w:trHeight w:val="285"/>
        </w:trPr>
        <w:tc>
          <w:tcPr>
            <w:tcW w:w="11160" w:type="dxa"/>
            <w:gridSpan w:val="7"/>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C.  Open Interest in Terms of Value (</w:t>
            </w:r>
            <w:r w:rsidRPr="007B01BF">
              <w:rPr>
                <w:rFonts w:ascii="Times New Roman" w:eastAsia="Times New Roman" w:hAnsi="Times New Roman"/>
                <w:b/>
                <w:bCs/>
                <w:sz w:val="16"/>
                <w:szCs w:val="16"/>
                <w:lang w:val="en-IN" w:eastAsia="en-IN" w:bidi="hi-IN"/>
              </w:rPr>
              <w:t>₹</w:t>
            </w:r>
            <w:r w:rsidRPr="007B01BF">
              <w:rPr>
                <w:rFonts w:ascii="Palatino Linotype" w:eastAsia="Times New Roman" w:hAnsi="Palatino Linotype"/>
                <w:b/>
                <w:bCs/>
                <w:sz w:val="16"/>
                <w:szCs w:val="16"/>
                <w:lang w:val="en-IN" w:eastAsia="en-IN" w:bidi="hi-IN"/>
              </w:rPr>
              <w:t>` crore)</w:t>
            </w:r>
          </w:p>
        </w:tc>
      </w:tr>
      <w:tr w:rsidR="00DD68D0" w:rsidRPr="007B01BF" w:rsidTr="00932FDF">
        <w:trPr>
          <w:trHeight w:val="255"/>
        </w:trPr>
        <w:tc>
          <w:tcPr>
            <w:tcW w:w="1960" w:type="dxa"/>
            <w:tcBorders>
              <w:top w:val="single" w:sz="4" w:space="0" w:color="000000"/>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 Index  Futures</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20,934.5 </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22,385.6 </w:t>
            </w:r>
          </w:p>
        </w:tc>
        <w:tc>
          <w:tcPr>
            <w:tcW w:w="123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6.9 </w:t>
            </w:r>
          </w:p>
        </w:tc>
        <w:tc>
          <w:tcPr>
            <w:tcW w:w="150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27.7 </w:t>
            </w:r>
          </w:p>
        </w:tc>
        <w:tc>
          <w:tcPr>
            <w:tcW w:w="1551"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6.7 </w:t>
            </w:r>
          </w:p>
        </w:tc>
        <w:tc>
          <w:tcPr>
            <w:tcW w:w="1525"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(75.8)</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 Options on Index</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1,12,063.9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88,988.0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(20.6)</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885.9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78.7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(91.1)</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94,094.6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63,999.9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(32.0)</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480.1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90.1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(81.2)</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(iii) Stock Futures</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1,17,696.1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1,16,162.8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(1.3)</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(iv) Options on Stock</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14,726.9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12,929.6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(12.2)</w:t>
            </w:r>
          </w:p>
        </w:tc>
        <w:tc>
          <w:tcPr>
            <w:tcW w:w="1504"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24,918.0 </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21,843.0 </w:t>
            </w:r>
          </w:p>
        </w:tc>
        <w:tc>
          <w:tcPr>
            <w:tcW w:w="1234"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(12.3)</w:t>
            </w:r>
          </w:p>
        </w:tc>
        <w:tc>
          <w:tcPr>
            <w:tcW w:w="1504"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single" w:sz="4" w:space="0" w:color="000000"/>
              <w:left w:val="single" w:sz="4" w:space="0" w:color="000000"/>
              <w:bottom w:val="single" w:sz="4" w:space="0" w:color="000000"/>
              <w:right w:val="single" w:sz="4" w:space="0" w:color="000000"/>
            </w:tcBorders>
            <w:shd w:val="clear" w:color="C6D9F0" w:fill="95B3D7"/>
            <w:noWrap/>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Total</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3,84,434 </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3,26,309 </w:t>
            </w:r>
          </w:p>
        </w:tc>
        <w:tc>
          <w:tcPr>
            <w:tcW w:w="1234"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(15.1)</w:t>
            </w:r>
          </w:p>
        </w:tc>
        <w:tc>
          <w:tcPr>
            <w:tcW w:w="1504"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1,393.8 </w:t>
            </w:r>
          </w:p>
        </w:tc>
        <w:tc>
          <w:tcPr>
            <w:tcW w:w="1551"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175.6 </w:t>
            </w:r>
          </w:p>
        </w:tc>
        <w:tc>
          <w:tcPr>
            <w:tcW w:w="1525" w:type="dxa"/>
            <w:tcBorders>
              <w:top w:val="nil"/>
              <w:left w:val="nil"/>
              <w:bottom w:val="single" w:sz="4" w:space="0" w:color="auto"/>
              <w:right w:val="single" w:sz="4" w:space="0" w:color="auto"/>
            </w:tcBorders>
            <w:shd w:val="clear" w:color="000000" w:fill="95B3D7"/>
            <w:noWrap/>
            <w:vAlign w:val="center"/>
            <w:hideMark/>
          </w:tcPr>
          <w:p w:rsidR="00DD68D0" w:rsidRPr="007B01BF" w:rsidRDefault="00DD68D0" w:rsidP="00932FDF">
            <w:pPr>
              <w:jc w:val="right"/>
              <w:rPr>
                <w:rFonts w:ascii="Palatino Linotype" w:eastAsia="Times New Roman" w:hAnsi="Palatino Linotype"/>
                <w:b/>
                <w:bCs/>
                <w:color w:val="000000"/>
                <w:sz w:val="16"/>
                <w:szCs w:val="16"/>
                <w:lang w:val="en-IN" w:eastAsia="en-IN" w:bidi="hi-IN"/>
              </w:rPr>
            </w:pPr>
            <w:r w:rsidRPr="007B01BF">
              <w:rPr>
                <w:rFonts w:ascii="Palatino Linotype" w:eastAsia="Times New Roman" w:hAnsi="Palatino Linotype"/>
                <w:b/>
                <w:bCs/>
                <w:color w:val="000000"/>
                <w:sz w:val="16"/>
                <w:szCs w:val="16"/>
                <w:lang w:val="en-IN" w:eastAsia="en-IN" w:bidi="hi-IN"/>
              </w:rPr>
              <w:t xml:space="preserve">                     (87.4)</w:t>
            </w:r>
          </w:p>
        </w:tc>
      </w:tr>
      <w:tr w:rsidR="00DD68D0" w:rsidRPr="007B01BF" w:rsidTr="00932FDF">
        <w:trPr>
          <w:trHeight w:val="270"/>
        </w:trPr>
        <w:tc>
          <w:tcPr>
            <w:tcW w:w="11160" w:type="dxa"/>
            <w:gridSpan w:val="7"/>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D.  Open Interest in Terms of No of Contracts</w:t>
            </w:r>
          </w:p>
        </w:tc>
      </w:tr>
      <w:tr w:rsidR="00DD68D0" w:rsidRPr="007B01BF" w:rsidTr="00932FDF">
        <w:trPr>
          <w:trHeight w:val="255"/>
        </w:trPr>
        <w:tc>
          <w:tcPr>
            <w:tcW w:w="1960" w:type="dxa"/>
            <w:tcBorders>
              <w:top w:val="single" w:sz="4" w:space="0" w:color="000000"/>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 Index  Futures</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2,29,685 </w:t>
            </w:r>
          </w:p>
        </w:tc>
        <w:tc>
          <w:tcPr>
            <w:tcW w:w="1693"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2,28,432 </w:t>
            </w:r>
          </w:p>
        </w:tc>
        <w:tc>
          <w:tcPr>
            <w:tcW w:w="123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(0.5)</w:t>
            </w:r>
          </w:p>
        </w:tc>
        <w:tc>
          <w:tcPr>
            <w:tcW w:w="1504"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91 </w:t>
            </w:r>
          </w:p>
        </w:tc>
        <w:tc>
          <w:tcPr>
            <w:tcW w:w="1551"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61 </w:t>
            </w:r>
          </w:p>
        </w:tc>
        <w:tc>
          <w:tcPr>
            <w:tcW w:w="1525" w:type="dxa"/>
            <w:tcBorders>
              <w:top w:val="single" w:sz="4" w:space="0" w:color="auto"/>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(33.0)</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 Options on Index</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12,29,811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9,05,213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(26.4)</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2,908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717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(75.3)</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10,49,866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6,65,045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(36.7)</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1,576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821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(47.9)</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(iii) Stock Futures</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15,64,283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14,71,076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(6.0)</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(iv) Options on Stock</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0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51"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w:t>
            </w:r>
          </w:p>
        </w:tc>
      </w:tr>
      <w:tr w:rsidR="00DD68D0" w:rsidRPr="007B01BF" w:rsidTr="00932FDF">
        <w:trPr>
          <w:trHeight w:val="255"/>
        </w:trPr>
        <w:tc>
          <w:tcPr>
            <w:tcW w:w="1960" w:type="dxa"/>
            <w:tcBorders>
              <w:top w:val="nil"/>
              <w:left w:val="single" w:sz="4" w:space="0" w:color="000000"/>
              <w:bottom w:val="nil"/>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Put</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1,91,888 </w:t>
            </w:r>
          </w:p>
        </w:tc>
        <w:tc>
          <w:tcPr>
            <w:tcW w:w="1693"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1,69,475 </w:t>
            </w:r>
          </w:p>
        </w:tc>
        <w:tc>
          <w:tcPr>
            <w:tcW w:w="1234"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(11.7)</w:t>
            </w:r>
          </w:p>
        </w:tc>
        <w:tc>
          <w:tcPr>
            <w:tcW w:w="1504"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nil"/>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nil"/>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single" w:sz="4" w:space="0" w:color="000000"/>
              <w:right w:val="single" w:sz="4" w:space="0" w:color="000000"/>
            </w:tcBorders>
            <w:shd w:val="clear" w:color="C6D9F0" w:fill="C6D9F0"/>
            <w:noWrap/>
            <w:vAlign w:val="center"/>
            <w:hideMark/>
          </w:tcPr>
          <w:p w:rsidR="00DD68D0" w:rsidRPr="007B01BF" w:rsidRDefault="00DD68D0" w:rsidP="00932FDF">
            <w:pPr>
              <w:rPr>
                <w:rFonts w:ascii="Palatino Linotype" w:eastAsia="Times New Roman" w:hAnsi="Palatino Linotype"/>
                <w:i/>
                <w:iCs/>
                <w:sz w:val="16"/>
                <w:szCs w:val="16"/>
                <w:lang w:val="en-IN" w:eastAsia="en-IN" w:bidi="hi-IN"/>
              </w:rPr>
            </w:pPr>
            <w:r w:rsidRPr="007B01BF">
              <w:rPr>
                <w:rFonts w:ascii="Palatino Linotype" w:eastAsia="Times New Roman" w:hAnsi="Palatino Linotype"/>
                <w:i/>
                <w:iCs/>
                <w:sz w:val="16"/>
                <w:szCs w:val="16"/>
                <w:lang w:val="en-IN" w:eastAsia="en-IN" w:bidi="hi-IN"/>
              </w:rPr>
              <w:t xml:space="preserve">          Call</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3,30,336 </w:t>
            </w:r>
          </w:p>
        </w:tc>
        <w:tc>
          <w:tcPr>
            <w:tcW w:w="1693"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2,88,536 </w:t>
            </w:r>
          </w:p>
        </w:tc>
        <w:tc>
          <w:tcPr>
            <w:tcW w:w="1234"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(12.7)</w:t>
            </w:r>
          </w:p>
        </w:tc>
        <w:tc>
          <w:tcPr>
            <w:tcW w:w="1504"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51" w:type="dxa"/>
            <w:tcBorders>
              <w:top w:val="nil"/>
              <w:left w:val="nil"/>
              <w:bottom w:val="single" w:sz="4" w:space="0" w:color="auto"/>
              <w:right w:val="single" w:sz="4" w:space="0" w:color="auto"/>
            </w:tcBorders>
            <w:shd w:val="clear" w:color="auto" w:fill="auto"/>
            <w:noWrap/>
            <w:hideMark/>
          </w:tcPr>
          <w:p w:rsidR="00DD68D0" w:rsidRPr="007B01BF" w:rsidRDefault="00DD68D0" w:rsidP="00932FDF">
            <w:pPr>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c>
          <w:tcPr>
            <w:tcW w:w="1525" w:type="dxa"/>
            <w:tcBorders>
              <w:top w:val="nil"/>
              <w:left w:val="nil"/>
              <w:bottom w:val="single" w:sz="4" w:space="0" w:color="auto"/>
              <w:right w:val="single" w:sz="4" w:space="0" w:color="auto"/>
            </w:tcBorders>
            <w:shd w:val="clear" w:color="auto" w:fill="auto"/>
            <w:noWrap/>
            <w:vAlign w:val="center"/>
            <w:hideMark/>
          </w:tcPr>
          <w:p w:rsidR="00DD68D0" w:rsidRPr="007B01BF" w:rsidRDefault="00DD68D0" w:rsidP="00932FDF">
            <w:pPr>
              <w:jc w:val="right"/>
              <w:rPr>
                <w:rFonts w:ascii="Palatino Linotype" w:eastAsia="Times New Roman" w:hAnsi="Palatino Linotype"/>
                <w:sz w:val="16"/>
                <w:szCs w:val="16"/>
                <w:lang w:val="en-IN" w:eastAsia="en-IN" w:bidi="hi-IN"/>
              </w:rPr>
            </w:pPr>
            <w:r w:rsidRPr="007B01BF">
              <w:rPr>
                <w:rFonts w:ascii="Palatino Linotype" w:eastAsia="Times New Roman" w:hAnsi="Palatino Linotype"/>
                <w:sz w:val="16"/>
                <w:szCs w:val="16"/>
                <w:lang w:val="en-IN" w:eastAsia="en-IN" w:bidi="hi-IN"/>
              </w:rPr>
              <w:t xml:space="preserve">                          -   </w:t>
            </w:r>
          </w:p>
        </w:tc>
      </w:tr>
      <w:tr w:rsidR="00DD68D0" w:rsidRPr="007B01BF" w:rsidTr="00932FDF">
        <w:trPr>
          <w:trHeight w:val="255"/>
        </w:trPr>
        <w:tc>
          <w:tcPr>
            <w:tcW w:w="1960" w:type="dxa"/>
            <w:tcBorders>
              <w:top w:val="nil"/>
              <w:left w:val="single" w:sz="4" w:space="0" w:color="000000"/>
              <w:bottom w:val="single" w:sz="4" w:space="0" w:color="000000"/>
              <w:right w:val="single" w:sz="4" w:space="0" w:color="000000"/>
            </w:tcBorders>
            <w:shd w:val="clear" w:color="C6D9F0" w:fill="95B3D7"/>
            <w:noWrap/>
            <w:vAlign w:val="center"/>
            <w:hideMark/>
          </w:tcPr>
          <w:p w:rsidR="00DD68D0" w:rsidRPr="007B01BF" w:rsidRDefault="00DD68D0" w:rsidP="00932FDF">
            <w:pPr>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Total</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45,95,869</w:t>
            </w:r>
          </w:p>
        </w:tc>
        <w:tc>
          <w:tcPr>
            <w:tcW w:w="1693"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 xml:space="preserve">                   37,27,777 </w:t>
            </w:r>
          </w:p>
        </w:tc>
        <w:tc>
          <w:tcPr>
            <w:tcW w:w="1234" w:type="dxa"/>
            <w:tcBorders>
              <w:top w:val="nil"/>
              <w:left w:val="nil"/>
              <w:bottom w:val="single" w:sz="4" w:space="0" w:color="000000"/>
              <w:right w:val="single" w:sz="4" w:space="0" w:color="000000"/>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-18.9</w:t>
            </w:r>
          </w:p>
        </w:tc>
        <w:tc>
          <w:tcPr>
            <w:tcW w:w="1504"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4,575</w:t>
            </w:r>
          </w:p>
        </w:tc>
        <w:tc>
          <w:tcPr>
            <w:tcW w:w="1551" w:type="dxa"/>
            <w:tcBorders>
              <w:top w:val="nil"/>
              <w:left w:val="nil"/>
              <w:bottom w:val="single" w:sz="4" w:space="0" w:color="000000"/>
              <w:right w:val="single" w:sz="4" w:space="0" w:color="auto"/>
            </w:tcBorders>
            <w:shd w:val="clear" w:color="C6D9F0" w:fill="95B3D7"/>
            <w:noWrap/>
            <w:vAlign w:val="center"/>
            <w:hideMark/>
          </w:tcPr>
          <w:p w:rsidR="00DD68D0" w:rsidRPr="007B01BF" w:rsidRDefault="00DD68D0" w:rsidP="00932FDF">
            <w:pPr>
              <w:jc w:val="right"/>
              <w:rPr>
                <w:rFonts w:ascii="Palatino Linotype" w:eastAsia="Times New Roman" w:hAnsi="Palatino Linotype"/>
                <w:b/>
                <w:bCs/>
                <w:sz w:val="16"/>
                <w:szCs w:val="16"/>
                <w:lang w:val="en-IN" w:eastAsia="en-IN" w:bidi="hi-IN"/>
              </w:rPr>
            </w:pPr>
            <w:r w:rsidRPr="007B01BF">
              <w:rPr>
                <w:rFonts w:ascii="Palatino Linotype" w:eastAsia="Times New Roman" w:hAnsi="Palatino Linotype"/>
                <w:b/>
                <w:bCs/>
                <w:sz w:val="16"/>
                <w:szCs w:val="16"/>
                <w:lang w:val="en-IN" w:eastAsia="en-IN" w:bidi="hi-IN"/>
              </w:rPr>
              <w:t>1,599</w:t>
            </w:r>
          </w:p>
        </w:tc>
        <w:tc>
          <w:tcPr>
            <w:tcW w:w="1525" w:type="dxa"/>
            <w:tcBorders>
              <w:top w:val="nil"/>
              <w:left w:val="nil"/>
              <w:bottom w:val="single" w:sz="4" w:space="0" w:color="auto"/>
              <w:right w:val="single" w:sz="4" w:space="0" w:color="auto"/>
            </w:tcBorders>
            <w:shd w:val="clear" w:color="000000" w:fill="95B3D7"/>
            <w:noWrap/>
            <w:vAlign w:val="center"/>
            <w:hideMark/>
          </w:tcPr>
          <w:p w:rsidR="00DD68D0" w:rsidRPr="007B01BF" w:rsidRDefault="00DD68D0" w:rsidP="00932FDF">
            <w:pPr>
              <w:jc w:val="right"/>
              <w:rPr>
                <w:rFonts w:ascii="Palatino Linotype" w:eastAsia="Times New Roman" w:hAnsi="Palatino Linotype"/>
                <w:b/>
                <w:bCs/>
                <w:color w:val="000000"/>
                <w:sz w:val="16"/>
                <w:szCs w:val="16"/>
                <w:lang w:val="en-IN" w:eastAsia="en-IN" w:bidi="hi-IN"/>
              </w:rPr>
            </w:pPr>
            <w:r w:rsidRPr="007B01BF">
              <w:rPr>
                <w:rFonts w:ascii="Palatino Linotype" w:eastAsia="Times New Roman" w:hAnsi="Palatino Linotype"/>
                <w:b/>
                <w:bCs/>
                <w:color w:val="000000"/>
                <w:sz w:val="16"/>
                <w:szCs w:val="16"/>
                <w:lang w:val="en-IN" w:eastAsia="en-IN" w:bidi="hi-IN"/>
              </w:rPr>
              <w:t>-65.0</w:t>
            </w:r>
          </w:p>
        </w:tc>
      </w:tr>
    </w:tbl>
    <w:p w:rsidR="00DD68D0" w:rsidRPr="007B01BF" w:rsidRDefault="00DD68D0" w:rsidP="00DD68D0">
      <w:pPr>
        <w:tabs>
          <w:tab w:val="left" w:pos="3135"/>
        </w:tabs>
        <w:spacing w:line="276" w:lineRule="auto"/>
        <w:rPr>
          <w:rFonts w:ascii="Palatino Linotype" w:eastAsia="Palatino Linotype" w:hAnsi="Palatino Linotype" w:cs="Palatino Linotype"/>
          <w:b/>
          <w:sz w:val="18"/>
          <w:szCs w:val="18"/>
        </w:rPr>
      </w:pPr>
      <w:r w:rsidRPr="007B01BF">
        <w:rPr>
          <w:rFonts w:ascii="Palatino Linotype" w:eastAsia="Palatino Linotype" w:hAnsi="Palatino Linotype" w:cs="Palatino Linotype"/>
          <w:b/>
          <w:sz w:val="18"/>
          <w:szCs w:val="18"/>
        </w:rPr>
        <w:t>Source: NSE and BSE</w:t>
      </w:r>
    </w:p>
    <w:p w:rsidR="00DD68D0" w:rsidRPr="003105AF" w:rsidRDefault="00DD68D0" w:rsidP="00DD68D0">
      <w:pPr>
        <w:tabs>
          <w:tab w:val="left" w:pos="3135"/>
        </w:tabs>
        <w:spacing w:line="276" w:lineRule="auto"/>
        <w:rPr>
          <w:rFonts w:ascii="Palatino Linotype" w:eastAsia="Palatino Linotype" w:hAnsi="Palatino Linotype" w:cs="Palatino Linotype"/>
          <w:b/>
          <w:color w:val="2E74B5"/>
          <w:sz w:val="22"/>
          <w:szCs w:val="22"/>
          <w:highlight w:val="yellow"/>
        </w:rPr>
      </w:pPr>
    </w:p>
    <w:p w:rsidR="00DD68D0" w:rsidRPr="00C34AF4" w:rsidRDefault="00DD68D0" w:rsidP="00DD68D0">
      <w:pPr>
        <w:tabs>
          <w:tab w:val="left" w:pos="3135"/>
        </w:tabs>
        <w:spacing w:line="276" w:lineRule="auto"/>
        <w:rPr>
          <w:rFonts w:ascii="Palatino Linotype" w:eastAsia="Palatino Linotype" w:hAnsi="Palatino Linotype" w:cs="Palatino Linotype"/>
          <w:b/>
          <w:sz w:val="22"/>
          <w:szCs w:val="22"/>
          <w:u w:val="single"/>
        </w:rPr>
      </w:pPr>
      <w:r w:rsidRPr="00C34AF4">
        <w:rPr>
          <w:rFonts w:ascii="Palatino Linotype" w:eastAsia="Palatino Linotype" w:hAnsi="Palatino Linotype" w:cs="Palatino Linotype"/>
          <w:b/>
          <w:sz w:val="22"/>
          <w:szCs w:val="22"/>
          <w:u w:val="single"/>
        </w:rPr>
        <w:t xml:space="preserve">BSE </w:t>
      </w:r>
    </w:p>
    <w:p w:rsidR="00DD68D0" w:rsidRPr="00783C4B"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83C4B">
        <w:rPr>
          <w:rFonts w:ascii="Palatino Linotype" w:eastAsia="Palatino Linotype" w:hAnsi="Palatino Linotype" w:cs="Palatino Linotype"/>
          <w:sz w:val="22"/>
          <w:szCs w:val="22"/>
        </w:rPr>
        <w:t xml:space="preserve">During December 2020, turnover of the equity derivatives segment at BSE increased by 12.0 per cent to </w:t>
      </w:r>
      <w:r w:rsidRPr="00783C4B">
        <w:rPr>
          <w:rFonts w:ascii="Tahoma" w:eastAsia="Palatino Linotype" w:hAnsi="Tahoma" w:cs="Tahoma"/>
          <w:sz w:val="22"/>
          <w:szCs w:val="22"/>
        </w:rPr>
        <w:t>₹</w:t>
      </w:r>
      <w:r w:rsidRPr="00783C4B">
        <w:rPr>
          <w:rFonts w:ascii="Palatino Linotype" w:eastAsia="Palatino Linotype" w:hAnsi="Palatino Linotype" w:cs="Palatino Linotype"/>
          <w:sz w:val="22"/>
          <w:szCs w:val="22"/>
        </w:rPr>
        <w:t xml:space="preserve">49,02,204.7 crore compared to </w:t>
      </w:r>
      <w:r w:rsidRPr="00783C4B">
        <w:rPr>
          <w:rFonts w:ascii="Tahoma" w:eastAsia="Palatino Linotype" w:hAnsi="Tahoma" w:cs="Tahoma"/>
          <w:sz w:val="22"/>
          <w:szCs w:val="22"/>
        </w:rPr>
        <w:t>₹</w:t>
      </w:r>
      <w:r w:rsidRPr="00783C4B">
        <w:rPr>
          <w:rFonts w:ascii="Palatino Linotype" w:eastAsia="Palatino Linotype" w:hAnsi="Palatino Linotype" w:cs="Palatino Linotype"/>
          <w:sz w:val="22"/>
          <w:szCs w:val="22"/>
        </w:rPr>
        <w:t xml:space="preserve">43,78,494.5 crore in </w:t>
      </w:r>
      <w:r w:rsidRPr="00783C4B">
        <w:rPr>
          <w:rFonts w:ascii="Palatino Linotype" w:eastAsia="Tahoma" w:hAnsi="Palatino Linotype"/>
          <w:sz w:val="22"/>
          <w:szCs w:val="22"/>
        </w:rPr>
        <w:t>November</w:t>
      </w:r>
      <w:r w:rsidRPr="00783C4B">
        <w:rPr>
          <w:rFonts w:ascii="Palatino Linotype" w:eastAsia="Palatino Linotype" w:hAnsi="Palatino Linotype" w:cs="Palatino Linotype"/>
          <w:sz w:val="22"/>
          <w:szCs w:val="22"/>
        </w:rPr>
        <w:t xml:space="preserve"> 2020.  </w:t>
      </w:r>
    </w:p>
    <w:p w:rsidR="00DD68D0" w:rsidRPr="00783C4B" w:rsidRDefault="00DD68D0" w:rsidP="00DD68D0">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783C4B">
        <w:rPr>
          <w:rFonts w:ascii="Palatino Linotype" w:eastAsia="Palatino Linotype" w:hAnsi="Palatino Linotype" w:cs="Palatino Linotype"/>
          <w:sz w:val="22"/>
          <w:szCs w:val="22"/>
        </w:rPr>
        <w:t>As at</w:t>
      </w:r>
      <w:r w:rsidRPr="00783C4B">
        <w:rPr>
          <w:rFonts w:ascii="Palatino Linotype" w:eastAsia="Tahoma" w:hAnsi="Palatino Linotype"/>
          <w:sz w:val="22"/>
          <w:szCs w:val="22"/>
        </w:rPr>
        <w:t xml:space="preserve"> the end of December 2020, the open interest at BSE stood at </w:t>
      </w:r>
      <w:r w:rsidRPr="00783C4B">
        <w:rPr>
          <w:rFonts w:ascii="Tahoma" w:eastAsia="Tahoma" w:hAnsi="Tahoma" w:cs="Tahoma"/>
          <w:sz w:val="22"/>
          <w:szCs w:val="22"/>
        </w:rPr>
        <w:t>₹</w:t>
      </w:r>
      <w:r w:rsidRPr="00783C4B">
        <w:rPr>
          <w:rFonts w:ascii="Palatino Linotype" w:eastAsia="Tahoma" w:hAnsi="Palatino Linotype"/>
          <w:sz w:val="22"/>
          <w:szCs w:val="22"/>
        </w:rPr>
        <w:t xml:space="preserve">175.6 crore compared to </w:t>
      </w:r>
      <w:r w:rsidRPr="00783C4B">
        <w:rPr>
          <w:rFonts w:ascii="Tahoma" w:eastAsia="Tahoma" w:hAnsi="Tahoma" w:cs="Tahoma"/>
          <w:sz w:val="22"/>
          <w:szCs w:val="22"/>
        </w:rPr>
        <w:t>₹</w:t>
      </w:r>
      <w:r w:rsidRPr="00783C4B">
        <w:rPr>
          <w:rFonts w:ascii="Palatino Linotype" w:eastAsia="Tahoma" w:hAnsi="Palatino Linotype"/>
          <w:sz w:val="22"/>
          <w:szCs w:val="22"/>
        </w:rPr>
        <w:t>1,393.8 crore as at the end of November 2020, registering a decrease of 87.4 per cent.</w:t>
      </w:r>
    </w:p>
    <w:p w:rsidR="00DD68D0" w:rsidRPr="004D5391" w:rsidRDefault="00DD68D0" w:rsidP="00DD68D0">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DD68D0" w:rsidRPr="004D5391" w:rsidRDefault="00DD68D0" w:rsidP="00DD68D0">
      <w:pPr>
        <w:tabs>
          <w:tab w:val="left" w:pos="3135"/>
        </w:tabs>
        <w:spacing w:line="276" w:lineRule="auto"/>
        <w:rPr>
          <w:rFonts w:ascii="Palatino Linotype" w:eastAsia="Palatino Linotype" w:hAnsi="Palatino Linotype" w:cs="Palatino Linotype"/>
          <w:b/>
          <w:sz w:val="22"/>
          <w:szCs w:val="22"/>
          <w:u w:val="single"/>
        </w:rPr>
      </w:pPr>
      <w:r w:rsidRPr="004D5391">
        <w:rPr>
          <w:rFonts w:ascii="Palatino Linotype" w:eastAsia="Palatino Linotype" w:hAnsi="Palatino Linotype" w:cs="Palatino Linotype"/>
          <w:b/>
          <w:sz w:val="22"/>
          <w:szCs w:val="22"/>
          <w:u w:val="single"/>
        </w:rPr>
        <w:t xml:space="preserve">NSE </w:t>
      </w:r>
    </w:p>
    <w:p w:rsidR="00DD68D0" w:rsidRPr="009E42B0" w:rsidRDefault="00DD68D0" w:rsidP="00DD68D0">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9E42B0">
        <w:rPr>
          <w:rFonts w:ascii="Palatino Linotype" w:eastAsia="Palatino Linotype" w:hAnsi="Palatino Linotype" w:cs="Palatino Linotype"/>
          <w:sz w:val="22"/>
          <w:szCs w:val="22"/>
        </w:rPr>
        <w:t>The monthly turnover</w:t>
      </w:r>
      <w:r w:rsidRPr="009E42B0">
        <w:rPr>
          <w:rStyle w:val="FootnoteReference"/>
          <w:rFonts w:ascii="Palatino Linotype" w:eastAsia="Palatino Linotype" w:hAnsi="Palatino Linotype" w:cs="Palatino Linotype"/>
          <w:sz w:val="22"/>
          <w:szCs w:val="22"/>
        </w:rPr>
        <w:footnoteReference w:id="1"/>
      </w:r>
      <w:r w:rsidRPr="009E42B0">
        <w:rPr>
          <w:rFonts w:ascii="Palatino Linotype" w:eastAsia="Palatino Linotype" w:hAnsi="Palatino Linotype" w:cs="Palatino Linotype"/>
          <w:sz w:val="22"/>
          <w:szCs w:val="22"/>
        </w:rPr>
        <w:t xml:space="preserve"> in the equity derivatives segment at NSE increased by 18.2 per cent to </w:t>
      </w:r>
      <w:r w:rsidRPr="009E42B0">
        <w:rPr>
          <w:rFonts w:ascii="Tahoma" w:eastAsia="Palatino Linotype" w:hAnsi="Tahoma" w:cs="Tahoma"/>
          <w:sz w:val="22"/>
          <w:szCs w:val="22"/>
        </w:rPr>
        <w:t>₹</w:t>
      </w:r>
      <w:r w:rsidRPr="009E42B0">
        <w:rPr>
          <w:rFonts w:ascii="Palatino Linotype" w:eastAsia="Palatino Linotype" w:hAnsi="Palatino Linotype" w:cs="Palatino Linotype"/>
          <w:sz w:val="22"/>
          <w:szCs w:val="22"/>
        </w:rPr>
        <w:t xml:space="preserve"> 672.6 lakh crore in December 2020 from </w:t>
      </w:r>
      <w:r w:rsidRPr="009E42B0">
        <w:rPr>
          <w:rFonts w:ascii="Tahoma" w:eastAsia="Palatino Linotype" w:hAnsi="Tahoma" w:cs="Tahoma"/>
          <w:sz w:val="22"/>
          <w:szCs w:val="22"/>
        </w:rPr>
        <w:t>₹</w:t>
      </w:r>
      <w:r w:rsidRPr="009E42B0">
        <w:rPr>
          <w:rFonts w:ascii="Palatino Linotype" w:eastAsia="Palatino Linotype" w:hAnsi="Palatino Linotype" w:cs="Palatino Linotype"/>
          <w:sz w:val="22"/>
          <w:szCs w:val="22"/>
        </w:rPr>
        <w:t xml:space="preserve">568.9 lakh crore in November 2020. </w:t>
      </w:r>
    </w:p>
    <w:p w:rsidR="00DD68D0" w:rsidRPr="009E42B0" w:rsidRDefault="00DD68D0" w:rsidP="00DD68D0">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9E42B0">
        <w:rPr>
          <w:rFonts w:ascii="Palatino Linotype" w:eastAsia="Palatino Linotype" w:hAnsi="Palatino Linotype" w:cs="Palatino Linotype"/>
          <w:sz w:val="22"/>
          <w:szCs w:val="22"/>
        </w:rPr>
        <w:t xml:space="preserve">During the above period, (i) the notional turnover of index options increased by 19.5 per cent to </w:t>
      </w:r>
      <w:r w:rsidRPr="009E42B0">
        <w:rPr>
          <w:rFonts w:ascii="Tahoma" w:eastAsia="Palatino Linotype" w:hAnsi="Tahoma" w:cs="Tahoma"/>
          <w:sz w:val="22"/>
          <w:szCs w:val="22"/>
        </w:rPr>
        <w:t>₹</w:t>
      </w:r>
      <w:r w:rsidRPr="009E42B0">
        <w:rPr>
          <w:rFonts w:ascii="Palatino Linotype" w:eastAsia="Palatino Linotype" w:hAnsi="Palatino Linotype" w:cs="Palatino Linotype"/>
          <w:sz w:val="22"/>
          <w:szCs w:val="22"/>
        </w:rPr>
        <w:t xml:space="preserve">623.5 lakh crore from </w:t>
      </w:r>
      <w:r w:rsidRPr="009E42B0">
        <w:rPr>
          <w:rFonts w:ascii="Tahoma" w:eastAsia="Palatino Linotype" w:hAnsi="Tahoma" w:cs="Tahoma"/>
          <w:sz w:val="22"/>
          <w:szCs w:val="22"/>
        </w:rPr>
        <w:t>₹</w:t>
      </w:r>
      <w:r w:rsidRPr="009E42B0">
        <w:rPr>
          <w:rFonts w:ascii="Palatino Linotype" w:eastAsia="Palatino Linotype" w:hAnsi="Palatino Linotype" w:cs="Palatino Linotype"/>
          <w:sz w:val="22"/>
          <w:szCs w:val="22"/>
        </w:rPr>
        <w:t xml:space="preserve">522.0 lakh crore, and accounted for 92.7 per cent of the total equity </w:t>
      </w:r>
      <w:r w:rsidRPr="009E42B0">
        <w:rPr>
          <w:rFonts w:ascii="Palatino Linotype" w:eastAsia="Tahoma" w:hAnsi="Palatino Linotype"/>
          <w:sz w:val="22"/>
          <w:szCs w:val="22"/>
        </w:rPr>
        <w:t xml:space="preserve">derivatives turnover of NSE; (ii) the notional turnover of stock options increased by 13.3 per cent to </w:t>
      </w:r>
      <w:r w:rsidRPr="009E42B0">
        <w:rPr>
          <w:rFonts w:ascii="Tahoma" w:eastAsia="Tahoma" w:hAnsi="Tahoma" w:cs="Tahoma"/>
          <w:sz w:val="22"/>
          <w:szCs w:val="22"/>
        </w:rPr>
        <w:t>₹</w:t>
      </w:r>
      <w:r w:rsidRPr="009E42B0">
        <w:rPr>
          <w:rFonts w:ascii="Palatino Linotype" w:eastAsia="Tahoma" w:hAnsi="Palatino Linotype"/>
          <w:sz w:val="22"/>
          <w:szCs w:val="22"/>
        </w:rPr>
        <w:t xml:space="preserve">26.3 lakh crore from </w:t>
      </w:r>
      <w:r w:rsidRPr="009E42B0">
        <w:rPr>
          <w:rFonts w:ascii="Tahoma" w:eastAsia="Tahoma" w:hAnsi="Tahoma" w:cs="Tahoma"/>
          <w:sz w:val="22"/>
          <w:szCs w:val="22"/>
        </w:rPr>
        <w:t>₹</w:t>
      </w:r>
      <w:r w:rsidRPr="009E42B0">
        <w:rPr>
          <w:rFonts w:ascii="Palatino Linotype" w:eastAsia="Tahoma" w:hAnsi="Palatino Linotype"/>
          <w:sz w:val="22"/>
          <w:szCs w:val="22"/>
        </w:rPr>
        <w:t xml:space="preserve">23.2 lakh crore; (iii) the turnover of index futures decreased by 16.3 per cent to </w:t>
      </w:r>
      <w:r w:rsidRPr="009E42B0">
        <w:rPr>
          <w:rFonts w:ascii="Tahoma" w:eastAsia="Tahoma" w:hAnsi="Tahoma" w:cs="Tahoma"/>
          <w:sz w:val="22"/>
          <w:szCs w:val="22"/>
        </w:rPr>
        <w:t>₹</w:t>
      </w:r>
      <w:r w:rsidRPr="009E42B0">
        <w:rPr>
          <w:rFonts w:ascii="Palatino Linotype" w:eastAsia="Tahoma" w:hAnsi="Palatino Linotype"/>
          <w:sz w:val="22"/>
          <w:szCs w:val="22"/>
        </w:rPr>
        <w:t xml:space="preserve">6.9 lakh crore from </w:t>
      </w:r>
      <w:r w:rsidRPr="009E42B0">
        <w:rPr>
          <w:rFonts w:ascii="Tahoma" w:eastAsia="Tahoma" w:hAnsi="Tahoma" w:cs="Tahoma"/>
          <w:sz w:val="22"/>
          <w:szCs w:val="22"/>
        </w:rPr>
        <w:t>₹</w:t>
      </w:r>
      <w:r w:rsidRPr="009E42B0">
        <w:rPr>
          <w:rFonts w:ascii="Palatino Linotype" w:eastAsia="Tahoma" w:hAnsi="Palatino Linotype"/>
          <w:sz w:val="22"/>
          <w:szCs w:val="22"/>
        </w:rPr>
        <w:t xml:space="preserve">8.3 lakh crore; and (iv) the turnover of stock futures increased by 2.9 per cent to </w:t>
      </w:r>
      <w:r w:rsidRPr="009E42B0">
        <w:rPr>
          <w:rFonts w:ascii="Tahoma" w:eastAsia="Tahoma" w:hAnsi="Tahoma" w:cs="Tahoma"/>
          <w:sz w:val="22"/>
          <w:szCs w:val="22"/>
        </w:rPr>
        <w:t>₹</w:t>
      </w:r>
      <w:r w:rsidRPr="009E42B0">
        <w:rPr>
          <w:rFonts w:ascii="Palatino Linotype" w:eastAsia="Tahoma" w:hAnsi="Palatino Linotype"/>
          <w:sz w:val="22"/>
          <w:szCs w:val="22"/>
        </w:rPr>
        <w:t xml:space="preserve">15.9 lakh crore from </w:t>
      </w:r>
      <w:r w:rsidRPr="009E42B0">
        <w:rPr>
          <w:rFonts w:ascii="Tahoma" w:eastAsia="Tahoma" w:hAnsi="Tahoma" w:cs="Tahoma"/>
          <w:sz w:val="22"/>
          <w:szCs w:val="22"/>
        </w:rPr>
        <w:t>₹</w:t>
      </w:r>
      <w:r w:rsidRPr="009E42B0">
        <w:rPr>
          <w:rFonts w:ascii="Palatino Linotype" w:eastAsia="Tahoma" w:hAnsi="Palatino Linotype"/>
          <w:sz w:val="22"/>
          <w:szCs w:val="22"/>
        </w:rPr>
        <w:t xml:space="preserve">15.4 lakh crore. </w:t>
      </w:r>
    </w:p>
    <w:p w:rsidR="00DD68D0" w:rsidRPr="009E42B0" w:rsidRDefault="00DD68D0" w:rsidP="00DD68D0">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9E42B0">
        <w:rPr>
          <w:rFonts w:ascii="Palatino Linotype" w:eastAsia="Tahoma" w:hAnsi="Palatino Linotype"/>
          <w:sz w:val="22"/>
          <w:szCs w:val="22"/>
        </w:rPr>
        <w:t xml:space="preserve">As at end of </w:t>
      </w:r>
      <w:r w:rsidRPr="009E42B0">
        <w:rPr>
          <w:rFonts w:ascii="Palatino Linotype" w:eastAsia="Palatino Linotype" w:hAnsi="Palatino Linotype" w:cs="Palatino Linotype"/>
          <w:sz w:val="22"/>
          <w:szCs w:val="22"/>
        </w:rPr>
        <w:t>December</w:t>
      </w:r>
      <w:r w:rsidRPr="009E42B0">
        <w:rPr>
          <w:rFonts w:ascii="Palatino Linotype" w:eastAsia="Tahoma" w:hAnsi="Palatino Linotype"/>
          <w:sz w:val="22"/>
          <w:szCs w:val="22"/>
        </w:rPr>
        <w:t xml:space="preserve"> 2020, the open interest value in equity derivatives stood at </w:t>
      </w:r>
      <w:r w:rsidRPr="009E42B0">
        <w:rPr>
          <w:rFonts w:ascii="Tahoma" w:eastAsia="Tahoma" w:hAnsi="Tahoma" w:cs="Tahoma"/>
          <w:sz w:val="22"/>
          <w:szCs w:val="22"/>
        </w:rPr>
        <w:t>₹</w:t>
      </w:r>
      <w:r w:rsidRPr="009E42B0">
        <w:rPr>
          <w:rFonts w:ascii="Palatino Linotype" w:eastAsia="Tahoma" w:hAnsi="Palatino Linotype"/>
          <w:sz w:val="22"/>
          <w:szCs w:val="22"/>
        </w:rPr>
        <w:t xml:space="preserve">3,26,309 crore, which is a decrease of 15.1 per cent from November 2020.  The open interest value at the end of </w:t>
      </w:r>
      <w:r w:rsidRPr="009E42B0">
        <w:rPr>
          <w:rFonts w:ascii="Palatino Linotype" w:eastAsia="Palatino Linotype" w:hAnsi="Palatino Linotype" w:cs="Palatino Linotype"/>
          <w:sz w:val="22"/>
          <w:szCs w:val="22"/>
        </w:rPr>
        <w:t>November</w:t>
      </w:r>
      <w:r w:rsidRPr="009E42B0">
        <w:rPr>
          <w:rFonts w:ascii="Palatino Linotype" w:eastAsia="Tahoma" w:hAnsi="Palatino Linotype"/>
          <w:sz w:val="22"/>
          <w:szCs w:val="22"/>
        </w:rPr>
        <w:t xml:space="preserve"> 2020 was </w:t>
      </w:r>
      <w:r w:rsidRPr="009E42B0">
        <w:rPr>
          <w:rFonts w:ascii="Tahoma" w:eastAsia="Tahoma" w:hAnsi="Tahoma" w:cs="Tahoma"/>
          <w:sz w:val="22"/>
          <w:szCs w:val="22"/>
        </w:rPr>
        <w:t>₹</w:t>
      </w:r>
      <w:r w:rsidRPr="009E42B0">
        <w:rPr>
          <w:rFonts w:ascii="Palatino Linotype" w:eastAsia="Tahoma" w:hAnsi="Palatino Linotype"/>
          <w:sz w:val="22"/>
          <w:szCs w:val="22"/>
        </w:rPr>
        <w:t>3,84,434 crore.</w:t>
      </w:r>
    </w:p>
    <w:p w:rsidR="00DD68D0" w:rsidRPr="003105AF" w:rsidRDefault="00DD68D0" w:rsidP="00DD68D0">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rsidR="00DD68D0" w:rsidRPr="008E3BFC" w:rsidRDefault="00DD68D0" w:rsidP="00DD68D0">
      <w:pPr>
        <w:pBdr>
          <w:top w:val="nil"/>
          <w:left w:val="nil"/>
          <w:bottom w:val="nil"/>
          <w:right w:val="nil"/>
          <w:between w:val="nil"/>
        </w:pBdr>
        <w:jc w:val="center"/>
        <w:rPr>
          <w:rFonts w:ascii="Palatino Linotype" w:eastAsia="Palatino Linotype" w:hAnsi="Palatino Linotype" w:cs="Palatino Linotype"/>
          <w:b/>
          <w:sz w:val="22"/>
          <w:szCs w:val="22"/>
        </w:rPr>
      </w:pPr>
      <w:r w:rsidRPr="008E3BFC">
        <w:rPr>
          <w:rFonts w:ascii="Palatino Linotype" w:eastAsia="Palatino Linotype" w:hAnsi="Palatino Linotype" w:cs="Palatino Linotype"/>
          <w:b/>
          <w:sz w:val="22"/>
          <w:szCs w:val="22"/>
        </w:rPr>
        <w:t xml:space="preserve">Figure 6: Trends of Equity Derivatives Segment at NSE </w:t>
      </w:r>
    </w:p>
    <w:p w:rsidR="00DD68D0" w:rsidRPr="008E3BFC" w:rsidRDefault="00DD68D0" w:rsidP="00DD68D0">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8E3BFC">
        <w:rPr>
          <w:noProof/>
          <w:lang w:val="en-IN" w:eastAsia="en-IN" w:bidi="hi-IN"/>
        </w:rPr>
        <w:drawing>
          <wp:inline distT="0" distB="0" distL="0" distR="0">
            <wp:extent cx="5446395" cy="2360295"/>
            <wp:effectExtent l="0" t="0" r="1905" b="190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68D0" w:rsidRPr="003105AF" w:rsidRDefault="00DD68D0" w:rsidP="00DD68D0">
      <w:pPr>
        <w:pBdr>
          <w:top w:val="nil"/>
          <w:left w:val="nil"/>
          <w:bottom w:val="nil"/>
          <w:right w:val="nil"/>
          <w:between w:val="nil"/>
        </w:pBdr>
        <w:jc w:val="center"/>
        <w:rPr>
          <w:rFonts w:ascii="Palatino Linotype" w:eastAsia="Palatino Linotype" w:hAnsi="Palatino Linotype" w:cs="Palatino Linotype"/>
          <w:b/>
          <w:color w:val="2E74B5"/>
          <w:sz w:val="22"/>
          <w:szCs w:val="22"/>
          <w:highlight w:val="yellow"/>
        </w:rPr>
      </w:pPr>
    </w:p>
    <w:p w:rsidR="00DD68D0" w:rsidRPr="00E00CB6"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E00CB6">
        <w:rPr>
          <w:rFonts w:ascii="Palatino Linotype" w:eastAsia="Palatino Linotype" w:hAnsi="Palatino Linotype" w:cs="Palatino Linotype"/>
          <w:sz w:val="22"/>
          <w:szCs w:val="22"/>
        </w:rPr>
        <w:t xml:space="preserve">During December 2020, the percentage share of weekly options to the total index options’ notional turnover stood at 77.4 per cent compared to 67.0 per cent in </w:t>
      </w:r>
      <w:r w:rsidRPr="00E00CB6">
        <w:rPr>
          <w:rFonts w:ascii="Palatino Linotype" w:eastAsia="Tahoma" w:hAnsi="Palatino Linotype"/>
          <w:sz w:val="22"/>
          <w:szCs w:val="22"/>
        </w:rPr>
        <w:t>November</w:t>
      </w:r>
      <w:r w:rsidRPr="00E00CB6">
        <w:rPr>
          <w:rFonts w:ascii="Palatino Linotype" w:eastAsia="Palatino Linotype" w:hAnsi="Palatino Linotype" w:cs="Palatino Linotype"/>
          <w:sz w:val="22"/>
          <w:szCs w:val="22"/>
        </w:rPr>
        <w:t xml:space="preserve"> 2020. The percentage share of monthly options to total index options’ notional turnover decreased from 32.3 per cent in November 2020 to 22.1 per cent in December 2020.  </w:t>
      </w:r>
    </w:p>
    <w:p w:rsidR="00DD68D0" w:rsidRPr="003105AF"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DD68D0" w:rsidRPr="00207BFF" w:rsidRDefault="00DD68D0" w:rsidP="00DD68D0">
      <w:pPr>
        <w:jc w:val="center"/>
        <w:rPr>
          <w:rFonts w:ascii="Palatino Linotype" w:eastAsia="Palatino Linotype" w:hAnsi="Palatino Linotype" w:cs="Palatino Linotype"/>
          <w:b/>
          <w:sz w:val="22"/>
          <w:szCs w:val="22"/>
        </w:rPr>
      </w:pPr>
      <w:r w:rsidRPr="00207BFF">
        <w:rPr>
          <w:rFonts w:ascii="Palatino Linotype" w:eastAsia="Palatino Linotype" w:hAnsi="Palatino Linotype" w:cs="Palatino Linotype"/>
          <w:b/>
          <w:sz w:val="22"/>
          <w:szCs w:val="22"/>
        </w:rPr>
        <w:t>Figure 7: Maturity-wise percentage Share of Total Index Options Turnover at NSE (per cent)</w:t>
      </w:r>
    </w:p>
    <w:p w:rsidR="00DD68D0" w:rsidRPr="003105AF" w:rsidRDefault="00DD68D0" w:rsidP="00DD68D0">
      <w:pPr>
        <w:spacing w:line="276" w:lineRule="auto"/>
        <w:jc w:val="center"/>
        <w:rPr>
          <w:rFonts w:ascii="Palatino Linotype" w:eastAsia="Palatino Linotype" w:hAnsi="Palatino Linotype" w:cs="Palatino Linotype"/>
          <w:b/>
          <w:sz w:val="22"/>
          <w:szCs w:val="22"/>
          <w:highlight w:val="yellow"/>
        </w:rPr>
      </w:pPr>
      <w:r w:rsidRPr="00207BFF">
        <w:rPr>
          <w:noProof/>
          <w:lang w:val="en-IN" w:eastAsia="en-IN" w:bidi="hi-IN"/>
        </w:rPr>
        <w:drawing>
          <wp:inline distT="0" distB="0" distL="0" distR="0">
            <wp:extent cx="5284470" cy="3090545"/>
            <wp:effectExtent l="0" t="0" r="11430" b="1460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68D0" w:rsidRPr="003105AF" w:rsidRDefault="00DD68D0" w:rsidP="00DD68D0">
      <w:pPr>
        <w:rPr>
          <w:rFonts w:ascii="Palatino Linotype" w:eastAsia="Palatino Linotype" w:hAnsi="Palatino Linotype" w:cs="Palatino Linotype"/>
          <w:b/>
          <w:sz w:val="22"/>
          <w:szCs w:val="22"/>
          <w:highlight w:val="yellow"/>
        </w:rPr>
      </w:pPr>
    </w:p>
    <w:p w:rsidR="00DD68D0" w:rsidRPr="005B0EE7" w:rsidRDefault="00DD68D0" w:rsidP="00DD68D0">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3105AF">
        <w:rPr>
          <w:rFonts w:ascii="Palatino Linotype" w:eastAsia="Palatino Linotype" w:hAnsi="Palatino Linotype" w:cs="Palatino Linotype"/>
          <w:b/>
          <w:sz w:val="22"/>
          <w:szCs w:val="22"/>
          <w:highlight w:val="yellow"/>
        </w:rPr>
        <w:br w:type="page"/>
      </w:r>
      <w:r w:rsidRPr="005B0EE7">
        <w:rPr>
          <w:rFonts w:ascii="Palatino Linotype" w:eastAsia="Palatino Linotype" w:hAnsi="Palatino Linotype" w:cs="Palatino Linotype"/>
          <w:b/>
          <w:sz w:val="22"/>
          <w:szCs w:val="22"/>
        </w:rPr>
        <w:t>Currency Derivatives at NSE, BSE and MSEI</w:t>
      </w:r>
    </w:p>
    <w:p w:rsidR="00DD68D0" w:rsidRPr="005B0EE7"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5B0EE7">
        <w:rPr>
          <w:rFonts w:ascii="Palatino Linotype" w:eastAsia="Palatino Linotype" w:hAnsi="Palatino Linotype" w:cs="Palatino Linotype"/>
          <w:sz w:val="22"/>
          <w:szCs w:val="22"/>
        </w:rPr>
        <w:t xml:space="preserve">During December 2020, the monthly turnover of currency derivatives in India (NSE, BSE and MSEI together) stood at </w:t>
      </w:r>
      <w:r w:rsidRPr="005B0EE7">
        <w:rPr>
          <w:rFonts w:ascii="Tahoma" w:eastAsia="Palatino Linotype" w:hAnsi="Tahoma" w:cs="Tahoma"/>
          <w:sz w:val="22"/>
          <w:szCs w:val="22"/>
        </w:rPr>
        <w:t>₹</w:t>
      </w:r>
      <w:r w:rsidRPr="00C70C26">
        <w:rPr>
          <w:rFonts w:ascii="Palatino Linotype" w:eastAsia="Palatino Linotype" w:hAnsi="Palatino Linotype" w:cs="Palatino Linotype"/>
          <w:sz w:val="22"/>
          <w:szCs w:val="22"/>
        </w:rPr>
        <w:t xml:space="preserve">16,71,869.7 </w:t>
      </w:r>
      <w:r w:rsidRPr="005B0EE7">
        <w:rPr>
          <w:rFonts w:ascii="Palatino Linotype" w:eastAsia="Palatino Linotype" w:hAnsi="Palatino Linotype" w:cs="Palatino Linotype"/>
          <w:sz w:val="22"/>
          <w:szCs w:val="22"/>
        </w:rPr>
        <w:t xml:space="preserve">crore as compared to </w:t>
      </w:r>
      <w:r w:rsidRPr="005B0EE7">
        <w:rPr>
          <w:rFonts w:ascii="Tahoma" w:eastAsia="Palatino Linotype" w:hAnsi="Tahoma" w:cs="Tahoma"/>
          <w:sz w:val="22"/>
          <w:szCs w:val="22"/>
        </w:rPr>
        <w:t>₹</w:t>
      </w:r>
      <w:r w:rsidRPr="005B0EE7">
        <w:rPr>
          <w:rFonts w:ascii="Palatino Linotype" w:eastAsia="Palatino Linotype" w:hAnsi="Palatino Linotype" w:cs="Palatino Linotype"/>
          <w:sz w:val="22"/>
          <w:szCs w:val="22"/>
        </w:rPr>
        <w:t>14,38,703.6 crore in November 2020, registering an increase of 16.2 per cent during the period under consideration.</w:t>
      </w:r>
    </w:p>
    <w:p w:rsidR="00DD68D0" w:rsidRPr="003105AF" w:rsidRDefault="00DD68D0" w:rsidP="00DD68D0">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DD68D0" w:rsidRPr="00D12359" w:rsidRDefault="00DD68D0" w:rsidP="00DD68D0">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12359">
        <w:rPr>
          <w:rFonts w:ascii="Palatino Linotype" w:eastAsia="Palatino Linotype" w:hAnsi="Palatino Linotype" w:cs="Palatino Linotype"/>
          <w:b/>
          <w:sz w:val="22"/>
          <w:szCs w:val="22"/>
        </w:rPr>
        <w:t>Figure 8: Trends of Currency Derivatives at NSE, MSEI and BSE</w:t>
      </w:r>
    </w:p>
    <w:p w:rsidR="00DD68D0" w:rsidRPr="00D12359" w:rsidRDefault="00DD68D0" w:rsidP="00DD68D0">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D12359">
        <w:rPr>
          <w:noProof/>
          <w:lang w:val="en-IN" w:eastAsia="en-IN" w:bidi="hi-IN"/>
        </w:rPr>
        <w:drawing>
          <wp:inline distT="0" distB="0" distL="0" distR="0">
            <wp:extent cx="5685155" cy="2938145"/>
            <wp:effectExtent l="0" t="0" r="10795" b="1460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68D0" w:rsidRPr="003105AF" w:rsidRDefault="00DD68D0" w:rsidP="00DD68D0">
      <w:pPr>
        <w:widowControl w:val="0"/>
        <w:spacing w:line="276" w:lineRule="auto"/>
        <w:ind w:left="720"/>
        <w:jc w:val="both"/>
        <w:rPr>
          <w:rFonts w:ascii="Palatino Linotype" w:eastAsia="Palatino Linotype" w:hAnsi="Palatino Linotype" w:cs="Palatino Linotype"/>
          <w:b/>
          <w:sz w:val="22"/>
          <w:szCs w:val="22"/>
          <w:highlight w:val="yellow"/>
        </w:rPr>
      </w:pPr>
    </w:p>
    <w:p w:rsidR="00DD68D0" w:rsidRPr="00893547" w:rsidRDefault="00DD68D0" w:rsidP="00DD68D0">
      <w:pPr>
        <w:widowControl w:val="0"/>
        <w:numPr>
          <w:ilvl w:val="0"/>
          <w:numId w:val="4"/>
        </w:numPr>
        <w:spacing w:line="276" w:lineRule="auto"/>
        <w:ind w:left="567" w:hanging="567"/>
        <w:jc w:val="both"/>
        <w:rPr>
          <w:rFonts w:ascii="Palatino Linotype" w:eastAsia="Palatino Linotype" w:hAnsi="Palatino Linotype" w:cs="Palatino Linotype"/>
          <w:b/>
          <w:sz w:val="22"/>
          <w:szCs w:val="22"/>
        </w:rPr>
      </w:pPr>
      <w:r w:rsidRPr="00893547">
        <w:rPr>
          <w:rFonts w:ascii="Palatino Linotype" w:eastAsia="Palatino Linotype" w:hAnsi="Palatino Linotype" w:cs="Palatino Linotype"/>
          <w:b/>
          <w:sz w:val="22"/>
          <w:szCs w:val="22"/>
        </w:rPr>
        <w:t xml:space="preserve">Interest Rate Derivatives at NSE and BSE </w:t>
      </w:r>
    </w:p>
    <w:p w:rsidR="00DD68D0" w:rsidRPr="00FF0266"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07D75">
        <w:rPr>
          <w:rFonts w:ascii="Palatino Linotype" w:eastAsia="Palatino Linotype" w:hAnsi="Palatino Linotype" w:cs="Palatino Linotype"/>
          <w:sz w:val="22"/>
          <w:szCs w:val="22"/>
        </w:rPr>
        <w:t xml:space="preserve">During December 2020, the monthly </w:t>
      </w:r>
      <w:r w:rsidRPr="009028DD">
        <w:rPr>
          <w:rFonts w:ascii="Palatino Linotype" w:eastAsia="Palatino Linotype" w:hAnsi="Palatino Linotype" w:cs="Palatino Linotype"/>
          <w:sz w:val="22"/>
          <w:szCs w:val="22"/>
        </w:rPr>
        <w:t>turnover of interest rate derivatives at</w:t>
      </w:r>
      <w:r w:rsidRPr="00707D75">
        <w:rPr>
          <w:rFonts w:ascii="Palatino Linotype" w:eastAsia="Palatino Linotype" w:hAnsi="Palatino Linotype" w:cs="Palatino Linotype"/>
          <w:sz w:val="22"/>
          <w:szCs w:val="22"/>
        </w:rPr>
        <w:t xml:space="preserve"> NSE increased by 46.3 per cent to </w:t>
      </w:r>
      <w:r w:rsidRPr="00707D75">
        <w:rPr>
          <w:rFonts w:ascii="Tahoma" w:eastAsia="Palatino Linotype" w:hAnsi="Tahoma" w:cs="Tahoma"/>
          <w:sz w:val="22"/>
          <w:szCs w:val="22"/>
        </w:rPr>
        <w:t>₹</w:t>
      </w:r>
      <w:r w:rsidRPr="00707D75">
        <w:rPr>
          <w:rFonts w:ascii="Palatino Linotype" w:eastAsia="Palatino Linotype" w:hAnsi="Palatino Linotype" w:cs="Palatino Linotype"/>
          <w:sz w:val="22"/>
          <w:szCs w:val="22"/>
        </w:rPr>
        <w:t xml:space="preserve">5,464.1 crore from </w:t>
      </w:r>
      <w:r w:rsidRPr="00707D75">
        <w:rPr>
          <w:rFonts w:ascii="Tahoma" w:eastAsia="Palatino Linotype" w:hAnsi="Tahoma" w:cs="Tahoma"/>
          <w:sz w:val="22"/>
          <w:szCs w:val="22"/>
        </w:rPr>
        <w:t>₹</w:t>
      </w:r>
      <w:r w:rsidRPr="00707D75">
        <w:rPr>
          <w:rFonts w:ascii="Palatino Linotype" w:eastAsia="Palatino Linotype" w:hAnsi="Palatino Linotype" w:cs="Palatino Linotype"/>
          <w:sz w:val="22"/>
          <w:szCs w:val="22"/>
        </w:rPr>
        <w:t xml:space="preserve">3,735.2 crore during November 2020. NSE had no trading activity in the </w:t>
      </w:r>
      <w:r w:rsidRPr="00FF0266">
        <w:rPr>
          <w:rFonts w:ascii="Palatino Linotype" w:eastAsia="Palatino Linotype" w:hAnsi="Palatino Linotype" w:cs="Palatino Linotype"/>
          <w:sz w:val="22"/>
          <w:szCs w:val="22"/>
        </w:rPr>
        <w:t>interest rate options segment during the month.</w:t>
      </w:r>
    </w:p>
    <w:p w:rsidR="00DD68D0" w:rsidRPr="00FF0266"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F0266">
        <w:rPr>
          <w:rFonts w:ascii="Palatino Linotype" w:eastAsia="Palatino Linotype" w:hAnsi="Palatino Linotype" w:cs="Palatino Linotype"/>
          <w:sz w:val="22"/>
          <w:szCs w:val="22"/>
        </w:rPr>
        <w:t xml:space="preserve">The monthly turnover of interest rate futures at BSE decreased by 66.9 per cent from </w:t>
      </w:r>
      <w:r w:rsidRPr="00FF0266">
        <w:rPr>
          <w:rFonts w:ascii="Tahoma" w:eastAsia="Palatino Linotype" w:hAnsi="Tahoma" w:cs="Tahoma"/>
          <w:sz w:val="22"/>
          <w:szCs w:val="22"/>
        </w:rPr>
        <w:t>₹</w:t>
      </w:r>
      <w:r w:rsidRPr="00FF0266">
        <w:rPr>
          <w:rFonts w:ascii="Palatino Linotype" w:eastAsia="Palatino Linotype" w:hAnsi="Palatino Linotype" w:cs="Palatino Linotype"/>
          <w:sz w:val="22"/>
          <w:szCs w:val="22"/>
        </w:rPr>
        <w:t xml:space="preserve">3,284.3 crore to </w:t>
      </w:r>
      <w:r w:rsidRPr="00FF0266">
        <w:rPr>
          <w:rFonts w:ascii="Tahoma" w:eastAsia="Palatino Linotype" w:hAnsi="Tahoma" w:cs="Tahoma"/>
          <w:sz w:val="22"/>
          <w:szCs w:val="22"/>
        </w:rPr>
        <w:t>₹</w:t>
      </w:r>
      <w:r w:rsidRPr="00FF0266">
        <w:rPr>
          <w:rFonts w:ascii="Palatino Linotype" w:eastAsia="Palatino Linotype" w:hAnsi="Palatino Linotype" w:cs="Palatino Linotype"/>
          <w:sz w:val="22"/>
          <w:szCs w:val="22"/>
        </w:rPr>
        <w:t xml:space="preserve"> 1,087.4 crore during the same period. </w:t>
      </w:r>
    </w:p>
    <w:p w:rsidR="00DD68D0" w:rsidRPr="003105AF" w:rsidRDefault="00DD68D0" w:rsidP="00DD68D0">
      <w:pPr>
        <w:rPr>
          <w:rFonts w:ascii="Palatino Linotype" w:eastAsia="Palatino Linotype" w:hAnsi="Palatino Linotype" w:cs="Palatino Linotype"/>
          <w:b/>
          <w:color w:val="2E74B5"/>
          <w:sz w:val="22"/>
          <w:szCs w:val="22"/>
          <w:highlight w:val="yellow"/>
        </w:rPr>
      </w:pPr>
    </w:p>
    <w:p w:rsidR="00DD68D0" w:rsidRPr="008D73D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8D73DF">
        <w:rPr>
          <w:rFonts w:ascii="Palatino Linotype" w:eastAsia="Palatino Linotype" w:hAnsi="Palatino Linotype" w:cs="Palatino Linotype"/>
          <w:b/>
          <w:sz w:val="22"/>
          <w:szCs w:val="22"/>
        </w:rPr>
        <w:t>Figure 9: Trends of Interest Rate Futures at NSE and BSE</w:t>
      </w:r>
    </w:p>
    <w:p w:rsidR="00DD68D0" w:rsidRPr="008D73D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rPr>
      </w:pPr>
      <w:r w:rsidRPr="008D73DF">
        <w:rPr>
          <w:noProof/>
          <w:lang w:val="en-IN" w:eastAsia="en-IN" w:bidi="hi-IN"/>
        </w:rPr>
        <w:drawing>
          <wp:inline distT="0" distB="0" distL="0" distR="0">
            <wp:extent cx="6410325" cy="2390775"/>
            <wp:effectExtent l="0" t="0" r="952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68D0" w:rsidRPr="003105AF" w:rsidRDefault="00DD68D0" w:rsidP="00DD68D0">
      <w:pPr>
        <w:rPr>
          <w:rFonts w:ascii="Palatino Linotype" w:eastAsia="Palatino Linotype" w:hAnsi="Palatino Linotype" w:cs="Palatino Linotype"/>
          <w:b/>
          <w:sz w:val="22"/>
          <w:szCs w:val="22"/>
          <w:highlight w:val="yellow"/>
        </w:rPr>
      </w:pPr>
    </w:p>
    <w:p w:rsidR="00DD68D0" w:rsidRPr="00D3010E" w:rsidRDefault="00DD68D0" w:rsidP="00DD68D0">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3105AF">
        <w:rPr>
          <w:rFonts w:ascii="Palatino Linotype" w:eastAsia="Palatino Linotype" w:hAnsi="Palatino Linotype" w:cs="Palatino Linotype"/>
          <w:b/>
          <w:sz w:val="22"/>
          <w:szCs w:val="22"/>
          <w:highlight w:val="yellow"/>
        </w:rPr>
        <w:br w:type="page"/>
      </w:r>
      <w:r w:rsidRPr="00D3010E">
        <w:rPr>
          <w:rFonts w:ascii="Palatino Linotype" w:eastAsia="Palatino Linotype" w:hAnsi="Palatino Linotype" w:cs="Palatino Linotype"/>
          <w:b/>
          <w:sz w:val="22"/>
          <w:szCs w:val="22"/>
        </w:rPr>
        <w:t>Trading in Corporate Debt Market</w:t>
      </w:r>
    </w:p>
    <w:p w:rsidR="00DD68D0" w:rsidRPr="00D3010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010E">
        <w:rPr>
          <w:rFonts w:ascii="Palatino Linotype" w:eastAsia="Palatino Linotype" w:hAnsi="Palatino Linotype" w:cs="Palatino Linotype"/>
          <w:sz w:val="22"/>
          <w:szCs w:val="22"/>
        </w:rPr>
        <w:t xml:space="preserve">During December 2020, BSE registered 6,496 trades of corporate debt with traded value of </w:t>
      </w:r>
      <w:r w:rsidRPr="00D3010E">
        <w:rPr>
          <w:rFonts w:ascii="Tahoma" w:eastAsia="Palatino Linotype" w:hAnsi="Tahoma" w:cs="Tahoma"/>
          <w:sz w:val="22"/>
          <w:szCs w:val="22"/>
        </w:rPr>
        <w:t>₹</w:t>
      </w:r>
      <w:r>
        <w:rPr>
          <w:rFonts w:ascii="Palatino Linotype" w:eastAsia="Palatino Linotype" w:hAnsi="Palatino Linotype" w:cs="Palatino Linotype"/>
          <w:sz w:val="22"/>
          <w:szCs w:val="22"/>
        </w:rPr>
        <w:t>34,626.2</w:t>
      </w:r>
      <w:r w:rsidRPr="00D3010E">
        <w:rPr>
          <w:rFonts w:ascii="Palatino Linotype" w:eastAsia="Palatino Linotype" w:hAnsi="Palatino Linotype" w:cs="Palatino Linotype"/>
          <w:sz w:val="22"/>
          <w:szCs w:val="22"/>
        </w:rPr>
        <w:t xml:space="preserve">crore, as compared to 4,913 trades of corporate debt with a traded value of </w:t>
      </w:r>
      <w:r w:rsidRPr="00D3010E">
        <w:rPr>
          <w:rFonts w:ascii="Tahoma" w:eastAsia="Palatino Linotype" w:hAnsi="Tahoma" w:cs="Tahoma"/>
          <w:sz w:val="22"/>
          <w:szCs w:val="22"/>
        </w:rPr>
        <w:t>₹</w:t>
      </w:r>
      <w:r>
        <w:rPr>
          <w:rFonts w:ascii="Palatino Linotype" w:eastAsia="Palatino Linotype" w:hAnsi="Palatino Linotype" w:cs="Palatino Linotype"/>
          <w:sz w:val="22"/>
          <w:szCs w:val="22"/>
        </w:rPr>
        <w:t>35,255.3</w:t>
      </w:r>
      <w:r w:rsidRPr="00D3010E">
        <w:rPr>
          <w:rFonts w:ascii="Palatino Linotype" w:eastAsia="Palatino Linotype" w:hAnsi="Palatino Linotype" w:cs="Palatino Linotype"/>
          <w:sz w:val="22"/>
          <w:szCs w:val="22"/>
        </w:rPr>
        <w:t xml:space="preserve">crore in the previous month.  </w:t>
      </w:r>
    </w:p>
    <w:p w:rsidR="00DD68D0" w:rsidRPr="00D3010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3010E">
        <w:rPr>
          <w:rFonts w:ascii="Palatino Linotype" w:eastAsia="Palatino Linotype" w:hAnsi="Palatino Linotype" w:cs="Palatino Linotype"/>
          <w:sz w:val="22"/>
          <w:szCs w:val="22"/>
        </w:rPr>
        <w:t xml:space="preserve">At NSE, 5,719 trades were recorded with a traded value of </w:t>
      </w:r>
      <w:r w:rsidRPr="00D3010E">
        <w:rPr>
          <w:rFonts w:ascii="Tahoma" w:eastAsia="Palatino Linotype" w:hAnsi="Tahoma" w:cs="Tahoma"/>
          <w:sz w:val="22"/>
          <w:szCs w:val="22"/>
        </w:rPr>
        <w:t>₹</w:t>
      </w:r>
      <w:r w:rsidRPr="00D3010E">
        <w:rPr>
          <w:rFonts w:ascii="Palatino Linotype" w:eastAsia="Palatino Linotype" w:hAnsi="Palatino Linotype" w:cs="Palatino Linotype"/>
          <w:sz w:val="22"/>
          <w:szCs w:val="22"/>
        </w:rPr>
        <w:t xml:space="preserve">76,874.0crore in December 2020 as compared to 4,860 trades with a traded value of </w:t>
      </w:r>
      <w:r w:rsidRPr="00D3010E">
        <w:rPr>
          <w:rFonts w:ascii="Tahoma" w:eastAsia="Palatino Linotype" w:hAnsi="Tahoma" w:cs="Tahoma"/>
          <w:sz w:val="22"/>
          <w:szCs w:val="22"/>
        </w:rPr>
        <w:t>₹</w:t>
      </w:r>
      <w:r w:rsidRPr="00D3010E">
        <w:rPr>
          <w:rFonts w:ascii="Palatino Linotype" w:eastAsia="Palatino Linotype" w:hAnsi="Palatino Linotype" w:cs="Palatino Linotype"/>
          <w:sz w:val="22"/>
          <w:szCs w:val="22"/>
        </w:rPr>
        <w:t>79,665</w:t>
      </w:r>
      <w:r>
        <w:rPr>
          <w:rFonts w:ascii="Palatino Linotype" w:eastAsia="Palatino Linotype" w:hAnsi="Palatino Linotype" w:cs="Palatino Linotype"/>
          <w:sz w:val="22"/>
          <w:szCs w:val="22"/>
        </w:rPr>
        <w:t>.3</w:t>
      </w:r>
      <w:r w:rsidRPr="00D3010E">
        <w:rPr>
          <w:rFonts w:ascii="Palatino Linotype" w:eastAsia="Palatino Linotype" w:hAnsi="Palatino Linotype" w:cs="Palatino Linotype"/>
          <w:sz w:val="22"/>
          <w:szCs w:val="22"/>
        </w:rPr>
        <w:t xml:space="preserve">crore in November 2020. </w:t>
      </w:r>
    </w:p>
    <w:p w:rsidR="00DD68D0" w:rsidRPr="003105AF" w:rsidRDefault="00DD68D0" w:rsidP="00DD68D0">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rsidR="00DD68D0"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77D07">
        <w:rPr>
          <w:rFonts w:ascii="Palatino Linotype" w:eastAsia="Palatino Linotype" w:hAnsi="Palatino Linotype" w:cs="Palatino Linotype"/>
          <w:b/>
          <w:sz w:val="22"/>
          <w:szCs w:val="22"/>
        </w:rPr>
        <w:t>Figure 10: Trends in Reported Turnover of Corporate Bonds</w:t>
      </w:r>
    </w:p>
    <w:p w:rsidR="00DD68D0" w:rsidRPr="00777D07"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DD68D0" w:rsidRPr="00777D07"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777D07">
        <w:rPr>
          <w:noProof/>
          <w:lang w:val="en-IN" w:eastAsia="en-IN" w:bidi="hi-IN"/>
        </w:rPr>
        <w:drawing>
          <wp:inline distT="0" distB="0" distL="0" distR="0">
            <wp:extent cx="6008370" cy="2550160"/>
            <wp:effectExtent l="0" t="0" r="11430" b="254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DD68D0" w:rsidRPr="006B54D9" w:rsidRDefault="00DD68D0" w:rsidP="00DD68D0">
      <w:pPr>
        <w:widowControl w:val="0"/>
        <w:spacing w:line="276" w:lineRule="auto"/>
        <w:ind w:left="720"/>
        <w:contextualSpacing/>
        <w:jc w:val="both"/>
        <w:rPr>
          <w:rFonts w:ascii="Palatino Linotype" w:hAnsi="Palatino Linotype"/>
          <w:b/>
          <w:color w:val="2E74B5"/>
          <w:sz w:val="22"/>
          <w:szCs w:val="22"/>
        </w:rPr>
      </w:pPr>
    </w:p>
    <w:p w:rsidR="00DD68D0" w:rsidRPr="006B54D9" w:rsidRDefault="00DD68D0" w:rsidP="00DD68D0">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6B54D9">
        <w:rPr>
          <w:rFonts w:ascii="Palatino Linotype" w:eastAsia="Palatino Linotype" w:hAnsi="Palatino Linotype" w:cs="Palatino Linotype"/>
          <w:b/>
          <w:sz w:val="22"/>
          <w:szCs w:val="22"/>
        </w:rPr>
        <w:t>Trends in Institutional Investments</w:t>
      </w:r>
    </w:p>
    <w:p w:rsidR="00DD68D0" w:rsidRPr="003105AF" w:rsidRDefault="00DD68D0" w:rsidP="00DD68D0">
      <w:pPr>
        <w:widowControl w:val="0"/>
        <w:spacing w:line="276" w:lineRule="auto"/>
        <w:ind w:left="720"/>
        <w:jc w:val="both"/>
        <w:rPr>
          <w:rFonts w:ascii="Palatino Linotype" w:eastAsia="Palatino Linotype" w:hAnsi="Palatino Linotype" w:cs="Palatino Linotype"/>
          <w:b/>
          <w:sz w:val="22"/>
          <w:szCs w:val="22"/>
          <w:highlight w:val="yellow"/>
        </w:rPr>
      </w:pPr>
    </w:p>
    <w:p w:rsidR="00DD68D0" w:rsidRPr="00EC062C" w:rsidRDefault="00DD68D0" w:rsidP="00DD68D0">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EC062C">
        <w:rPr>
          <w:rFonts w:ascii="Palatino Linotype" w:eastAsia="Palatino Linotype" w:hAnsi="Palatino Linotype" w:cs="Palatino Linotype"/>
          <w:b/>
          <w:sz w:val="22"/>
          <w:szCs w:val="22"/>
        </w:rPr>
        <w:t>Trends in Fund Mobilisation/Transactions by Mutual Funds</w:t>
      </w:r>
    </w:p>
    <w:p w:rsidR="00DD68D0" w:rsidRPr="00EC062C"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EC062C">
        <w:rPr>
          <w:rFonts w:ascii="Palatino Linotype" w:eastAsia="Times New Roman" w:hAnsi="Palatino Linotype" w:cs="Tahoma"/>
          <w:sz w:val="20"/>
          <w:szCs w:val="20"/>
          <w:lang w:val="en-IN" w:eastAsia="en-IN"/>
        </w:rPr>
        <w:t> </w:t>
      </w:r>
      <w:r w:rsidRPr="00EC062C">
        <w:rPr>
          <w:rFonts w:ascii="Palatino Linotype" w:eastAsia="Times New Roman" w:hAnsi="Palatino Linotype" w:cs="Tahoma"/>
          <w:sz w:val="22"/>
          <w:szCs w:val="22"/>
          <w:lang w:eastAsia="en-IN"/>
        </w:rPr>
        <w:t xml:space="preserve">As at </w:t>
      </w:r>
      <w:r w:rsidRPr="00EC062C">
        <w:rPr>
          <w:rFonts w:ascii="Palatino Linotype" w:eastAsia="Palatino Linotype" w:hAnsi="Palatino Linotype" w:cs="Palatino Linotype"/>
          <w:sz w:val="22"/>
          <w:szCs w:val="22"/>
        </w:rPr>
        <w:t xml:space="preserve">end of December 2020, there were a total of 1,743 mutual fund schemes in the market, of which 1005 were open-ended schemes, 715 were close-ended schemes and 23 were interval schemes. </w:t>
      </w:r>
    </w:p>
    <w:p w:rsidR="00DD68D0" w:rsidRPr="0015147B"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176F6">
        <w:rPr>
          <w:rFonts w:ascii="Palatino Linotype" w:eastAsia="Palatino Linotype" w:hAnsi="Palatino Linotype" w:cs="Palatino Linotype"/>
          <w:sz w:val="22"/>
          <w:szCs w:val="22"/>
        </w:rPr>
        <w:t xml:space="preserve">The mutual fund industry saw a net inflow of </w:t>
      </w:r>
      <w:r w:rsidRPr="007176F6">
        <w:rPr>
          <w:rFonts w:ascii="Tahoma" w:eastAsia="Palatino Linotype" w:hAnsi="Tahoma" w:cs="Tahoma"/>
          <w:sz w:val="22"/>
          <w:szCs w:val="22"/>
        </w:rPr>
        <w:t>₹</w:t>
      </w:r>
      <w:r w:rsidRPr="0015147B">
        <w:rPr>
          <w:rFonts w:ascii="Palatino Linotype" w:eastAsia="Palatino Linotype" w:hAnsi="Palatino Linotype" w:cs="Palatino Linotype"/>
          <w:sz w:val="22"/>
          <w:szCs w:val="22"/>
        </w:rPr>
        <w:t>2</w:t>
      </w:r>
      <w:r>
        <w:rPr>
          <w:rFonts w:ascii="Palatino Linotype" w:eastAsia="Palatino Linotype" w:hAnsi="Palatino Linotype" w:cs="Palatino Linotype"/>
          <w:sz w:val="22"/>
          <w:szCs w:val="22"/>
        </w:rPr>
        <w:t>,</w:t>
      </w:r>
      <w:r w:rsidRPr="0015147B">
        <w:rPr>
          <w:rFonts w:ascii="Palatino Linotype" w:eastAsia="Palatino Linotype" w:hAnsi="Palatino Linotype" w:cs="Palatino Linotype"/>
          <w:sz w:val="22"/>
          <w:szCs w:val="22"/>
        </w:rPr>
        <w:t xml:space="preserve">968.0 </w:t>
      </w:r>
      <w:r w:rsidRPr="007176F6">
        <w:rPr>
          <w:rFonts w:ascii="Palatino Linotype" w:eastAsia="Palatino Linotype" w:hAnsi="Palatino Linotype" w:cs="Palatino Linotype"/>
          <w:sz w:val="22"/>
          <w:szCs w:val="22"/>
        </w:rPr>
        <w:t xml:space="preserve">crore during December 2020, against the net </w:t>
      </w:r>
      <w:r w:rsidRPr="0015147B">
        <w:rPr>
          <w:rFonts w:ascii="Palatino Linotype" w:eastAsia="Palatino Linotype" w:hAnsi="Palatino Linotype" w:cs="Palatino Linotype"/>
          <w:sz w:val="22"/>
          <w:szCs w:val="22"/>
        </w:rPr>
        <w:t xml:space="preserve">inflow of </w:t>
      </w:r>
      <w:r w:rsidRPr="0015147B">
        <w:rPr>
          <w:rFonts w:ascii="Tahoma" w:eastAsia="Palatino Linotype" w:hAnsi="Tahoma" w:cs="Tahoma"/>
          <w:sz w:val="22"/>
          <w:szCs w:val="22"/>
        </w:rPr>
        <w:t>₹</w:t>
      </w:r>
      <w:r w:rsidRPr="0015147B">
        <w:rPr>
          <w:rFonts w:ascii="Palatino Linotype" w:eastAsia="Palatino Linotype" w:hAnsi="Palatino Linotype" w:cs="Palatino Linotype"/>
          <w:sz w:val="22"/>
          <w:szCs w:val="22"/>
        </w:rPr>
        <w:t>27,194.1 crore during November 2020.</w:t>
      </w:r>
    </w:p>
    <w:p w:rsidR="00DD68D0" w:rsidRPr="007C354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C54FD">
        <w:rPr>
          <w:rFonts w:ascii="Palatino Linotype" w:eastAsia="Palatino Linotype" w:hAnsi="Palatino Linotype" w:cs="Palatino Linotype"/>
          <w:sz w:val="22"/>
          <w:szCs w:val="22"/>
        </w:rPr>
        <w:t xml:space="preserve">The funds mobilised by open-ended schemes during December 2020 was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7,56,571.5 crore against redemption/repurchase of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7,50,607.0 crore, resulting in a net inflow of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5,964.5 crore from open-ended schemes. Of the total funds mobilised by the open-ended schemes during the month under consideration,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7,06,881.8 crore was mobilised through income/debt oriented schemes,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26,073.2 crore through growth/equity oriented schemes,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10,777.3 crore through hybrid schemes, </w:t>
      </w:r>
      <w:r w:rsidRPr="000C54FD">
        <w:rPr>
          <w:rFonts w:ascii="Tahoma" w:eastAsia="Palatino Linotype" w:hAnsi="Tahoma" w:cs="Tahoma"/>
          <w:sz w:val="22"/>
          <w:szCs w:val="22"/>
        </w:rPr>
        <w:t>₹</w:t>
      </w:r>
      <w:r w:rsidRPr="000C54FD">
        <w:rPr>
          <w:rFonts w:ascii="Palatino Linotype" w:eastAsia="Palatino Linotype" w:hAnsi="Palatino Linotype" w:cs="Palatino Linotype"/>
          <w:sz w:val="22"/>
          <w:szCs w:val="22"/>
        </w:rPr>
        <w:t xml:space="preserve">253.5 crore </w:t>
      </w:r>
      <w:r w:rsidRPr="007C354E">
        <w:rPr>
          <w:rFonts w:ascii="Palatino Linotype" w:eastAsia="Palatino Linotype" w:hAnsi="Palatino Linotype" w:cs="Palatino Linotype"/>
          <w:sz w:val="22"/>
          <w:szCs w:val="22"/>
        </w:rPr>
        <w:t xml:space="preserve">through solution oriented schemes and </w:t>
      </w:r>
      <w:r w:rsidRPr="007C354E">
        <w:rPr>
          <w:rFonts w:ascii="Tahoma" w:eastAsia="Palatino Linotype" w:hAnsi="Tahoma" w:cs="Tahoma"/>
          <w:sz w:val="22"/>
          <w:szCs w:val="22"/>
        </w:rPr>
        <w:t>₹</w:t>
      </w:r>
      <w:r w:rsidRPr="007C354E">
        <w:rPr>
          <w:rFonts w:ascii="Palatino Linotype" w:eastAsia="Palatino Linotype" w:hAnsi="Palatino Linotype" w:cs="Palatino Linotype"/>
          <w:sz w:val="22"/>
          <w:szCs w:val="22"/>
        </w:rPr>
        <w:t xml:space="preserve">12,585.7 crore through other schemes. </w:t>
      </w:r>
    </w:p>
    <w:p w:rsidR="00DD68D0" w:rsidRPr="007C354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354E">
        <w:rPr>
          <w:rFonts w:ascii="Palatino Linotype" w:eastAsia="Palatino Linotype" w:hAnsi="Palatino Linotype" w:cs="Palatino Linotype"/>
          <w:sz w:val="22"/>
          <w:szCs w:val="22"/>
        </w:rPr>
        <w:t xml:space="preserve">During December 2020, close-ended schemes worth </w:t>
      </w:r>
      <w:r w:rsidRPr="007C354E">
        <w:rPr>
          <w:rFonts w:ascii="Tahoma" w:eastAsia="Palatino Linotype" w:hAnsi="Tahoma" w:cs="Tahoma"/>
          <w:sz w:val="22"/>
          <w:szCs w:val="22"/>
        </w:rPr>
        <w:t>₹</w:t>
      </w:r>
      <w:r w:rsidRPr="007C354E">
        <w:t xml:space="preserve"> </w:t>
      </w:r>
      <w:r w:rsidRPr="007C354E">
        <w:rPr>
          <w:rFonts w:ascii="Palatino Linotype" w:eastAsia="Palatino Linotype" w:hAnsi="Palatino Linotype" w:cs="Palatino Linotype"/>
          <w:sz w:val="22"/>
          <w:szCs w:val="22"/>
        </w:rPr>
        <w:t>2,990.9 crore were matured/ repurchased</w:t>
      </w:r>
      <w:r w:rsidRPr="007C354E">
        <w:rPr>
          <w:rFonts w:ascii="Palatino Linotype" w:eastAsia="Palatino Linotype" w:hAnsi="Palatino Linotype" w:cs="Palatino Linotype"/>
          <w:sz w:val="22"/>
          <w:szCs w:val="22"/>
          <w:vertAlign w:val="superscript"/>
        </w:rPr>
        <w:footnoteReference w:id="2"/>
      </w:r>
      <w:r w:rsidRPr="007C354E">
        <w:rPr>
          <w:rFonts w:ascii="Palatino Linotype" w:eastAsia="Palatino Linotype" w:hAnsi="Palatino Linotype" w:cs="Palatino Linotype"/>
          <w:sz w:val="22"/>
          <w:szCs w:val="22"/>
        </w:rPr>
        <w:t xml:space="preserve">.  Also, interval schemes worth </w:t>
      </w:r>
      <w:r w:rsidRPr="007C354E">
        <w:rPr>
          <w:rFonts w:ascii="Tahoma" w:eastAsia="Palatino Linotype" w:hAnsi="Tahoma" w:cs="Tahoma"/>
          <w:sz w:val="22"/>
          <w:szCs w:val="22"/>
        </w:rPr>
        <w:t>₹</w:t>
      </w:r>
      <w:r w:rsidRPr="007C354E">
        <w:rPr>
          <w:rFonts w:ascii="Palatino Linotype" w:eastAsia="Palatino Linotype" w:hAnsi="Palatino Linotype" w:cs="Palatino Linotype"/>
          <w:sz w:val="22"/>
          <w:szCs w:val="22"/>
        </w:rPr>
        <w:t>5.6 crore were matured/redeemed during the period.  </w:t>
      </w:r>
    </w:p>
    <w:p w:rsidR="00DD68D0" w:rsidRPr="007C354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354E">
        <w:rPr>
          <w:rFonts w:ascii="Palatino Linotype" w:eastAsia="Palatino Linotype" w:hAnsi="Palatino Linotype" w:cs="Palatino Linotype"/>
          <w:sz w:val="22"/>
          <w:szCs w:val="22"/>
        </w:rPr>
        <w:t xml:space="preserve">The net assets under management of mutual funds stood at </w:t>
      </w:r>
      <w:r w:rsidRPr="007C354E">
        <w:rPr>
          <w:rFonts w:ascii="Tahoma" w:eastAsia="Palatino Linotype" w:hAnsi="Tahoma" w:cs="Tahoma"/>
          <w:sz w:val="22"/>
          <w:szCs w:val="22"/>
        </w:rPr>
        <w:t>₹</w:t>
      </w:r>
      <w:r w:rsidRPr="007C354E">
        <w:rPr>
          <w:rFonts w:ascii="Palatino Linotype" w:eastAsia="Palatino Linotype" w:hAnsi="Palatino Linotype" w:cs="Palatino Linotype"/>
          <w:sz w:val="22"/>
          <w:szCs w:val="22"/>
        </w:rPr>
        <w:t xml:space="preserve">31.0 lakh crore as at the end of December 2020, up from </w:t>
      </w:r>
      <w:r w:rsidRPr="007C354E">
        <w:rPr>
          <w:rFonts w:ascii="Tahoma" w:eastAsia="Palatino Linotype" w:hAnsi="Tahoma" w:cs="Tahoma"/>
          <w:sz w:val="22"/>
          <w:szCs w:val="22"/>
        </w:rPr>
        <w:t>₹</w:t>
      </w:r>
      <w:r w:rsidRPr="007C354E">
        <w:rPr>
          <w:rFonts w:ascii="Palatino Linotype" w:eastAsia="Palatino Linotype" w:hAnsi="Palatino Linotype" w:cs="Palatino Linotype"/>
          <w:sz w:val="22"/>
          <w:szCs w:val="22"/>
        </w:rPr>
        <w:t xml:space="preserve">30.0 lakh crore as at the end of November 2020. </w:t>
      </w: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DD68D0" w:rsidRPr="00894C9E"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D68D0" w:rsidRPr="00894C9E"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894C9E">
        <w:rPr>
          <w:rFonts w:ascii="Palatino Linotype" w:eastAsia="Palatino Linotype" w:hAnsi="Palatino Linotype" w:cs="Palatino Linotype"/>
          <w:sz w:val="22"/>
          <w:szCs w:val="22"/>
        </w:rPr>
        <w:t xml:space="preserve">In the secondary market transactions, during December 2020, mutual funds liquidated </w:t>
      </w:r>
      <w:r w:rsidRPr="00894C9E">
        <w:rPr>
          <w:rFonts w:ascii="Tahoma" w:eastAsia="Palatino Linotype" w:hAnsi="Tahoma" w:cs="Tahoma"/>
          <w:sz w:val="22"/>
          <w:szCs w:val="22"/>
        </w:rPr>
        <w:t>₹</w:t>
      </w:r>
      <w:r w:rsidRPr="00894C9E">
        <w:rPr>
          <w:rFonts w:ascii="Palatino Linotype" w:eastAsia="Palatino Linotype" w:hAnsi="Palatino Linotype" w:cs="Palatino Linotype"/>
          <w:sz w:val="22"/>
          <w:szCs w:val="22"/>
        </w:rPr>
        <w:t xml:space="preserve">26,427.8 crore from equity schemes and deployed </w:t>
      </w:r>
      <w:r w:rsidRPr="00894C9E">
        <w:rPr>
          <w:rFonts w:ascii="Tahoma" w:eastAsia="Palatino Linotype" w:hAnsi="Tahoma" w:cs="Tahoma"/>
          <w:sz w:val="22"/>
          <w:szCs w:val="22"/>
        </w:rPr>
        <w:t>₹</w:t>
      </w:r>
      <w:r w:rsidRPr="00894C9E">
        <w:rPr>
          <w:rFonts w:ascii="Palatino Linotype" w:eastAsia="Palatino Linotype" w:hAnsi="Palatino Linotype" w:cs="Palatino Linotype"/>
          <w:sz w:val="22"/>
          <w:szCs w:val="22"/>
        </w:rPr>
        <w:t xml:space="preserve">23,368.4 crore in debt schemes. </w:t>
      </w:r>
    </w:p>
    <w:p w:rsidR="00DD68D0" w:rsidRPr="003105AF" w:rsidRDefault="00DD68D0" w:rsidP="00DD68D0">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DD68D0"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C87801">
        <w:rPr>
          <w:rFonts w:ascii="Palatino Linotype" w:eastAsia="Palatino Linotype" w:hAnsi="Palatino Linotype" w:cs="Palatino Linotype"/>
          <w:b/>
          <w:sz w:val="22"/>
          <w:szCs w:val="22"/>
        </w:rPr>
        <w:t xml:space="preserve">Figure 11: Trends in Mutual Funds Transactions in Secondary Market </w:t>
      </w:r>
    </w:p>
    <w:p w:rsidR="00DD68D0" w:rsidRPr="00C87801"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C87801">
        <w:rPr>
          <w:noProof/>
          <w:lang w:val="en-IN" w:eastAsia="en-IN" w:bidi="hi-IN"/>
        </w:rPr>
        <w:drawing>
          <wp:inline distT="0" distB="0" distL="0" distR="0">
            <wp:extent cx="5844540" cy="2904490"/>
            <wp:effectExtent l="0" t="0" r="3810" b="1016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68D0" w:rsidRPr="00825DF5"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DD68D0" w:rsidRPr="001A7D3E" w:rsidRDefault="00DD68D0" w:rsidP="00DD68D0">
      <w:pPr>
        <w:widowControl w:val="0"/>
        <w:numPr>
          <w:ilvl w:val="0"/>
          <w:numId w:val="9"/>
        </w:numPr>
        <w:tabs>
          <w:tab w:val="left" w:pos="0"/>
        </w:tabs>
        <w:spacing w:line="276" w:lineRule="auto"/>
        <w:ind w:left="567" w:hanging="567"/>
        <w:jc w:val="both"/>
        <w:rPr>
          <w:rFonts w:ascii="Palatino Linotype" w:eastAsia="Palatino Linotype" w:hAnsi="Palatino Linotype" w:cs="Palatino Linotype"/>
          <w:b/>
          <w:sz w:val="22"/>
          <w:szCs w:val="22"/>
        </w:rPr>
      </w:pPr>
      <w:r w:rsidRPr="001A7D3E">
        <w:rPr>
          <w:rFonts w:ascii="Palatino Linotype" w:eastAsia="Palatino Linotype" w:hAnsi="Palatino Linotype" w:cs="Palatino Linotype"/>
          <w:b/>
          <w:sz w:val="22"/>
          <w:szCs w:val="22"/>
        </w:rPr>
        <w:t>Trends in Investments by the Foreign Portfolio Investors (FPIs)</w:t>
      </w:r>
    </w:p>
    <w:p w:rsidR="00DD68D0" w:rsidRPr="001A7D3E" w:rsidRDefault="00DD68D0" w:rsidP="00DD68D0">
      <w:pPr>
        <w:widowControl w:val="0"/>
        <w:tabs>
          <w:tab w:val="left" w:pos="0"/>
        </w:tabs>
        <w:spacing w:line="276" w:lineRule="auto"/>
        <w:ind w:left="360"/>
        <w:jc w:val="both"/>
        <w:rPr>
          <w:rFonts w:ascii="Palatino Linotype" w:eastAsia="Palatino Linotype" w:hAnsi="Palatino Linotype" w:cs="Palatino Linotype"/>
          <w:b/>
          <w:sz w:val="22"/>
          <w:szCs w:val="22"/>
        </w:rPr>
      </w:pPr>
    </w:p>
    <w:p w:rsidR="00DD68D0" w:rsidRPr="0035078F" w:rsidRDefault="00DD68D0" w:rsidP="00DD68D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A7D3E">
        <w:rPr>
          <w:rFonts w:ascii="Palatino Linotype" w:eastAsia="Palatino Linotype" w:hAnsi="Palatino Linotype" w:cs="Palatino Linotype"/>
          <w:sz w:val="22"/>
          <w:szCs w:val="22"/>
        </w:rPr>
        <w:t xml:space="preserve">During December 2020, FPIs invested </w:t>
      </w:r>
      <w:r w:rsidRPr="001A7D3E">
        <w:rPr>
          <w:rFonts w:ascii="Tahoma" w:eastAsia="Palatino Linotype" w:hAnsi="Tahoma" w:cs="Tahoma"/>
          <w:sz w:val="22"/>
          <w:szCs w:val="22"/>
        </w:rPr>
        <w:t>₹</w:t>
      </w:r>
      <w:r w:rsidRPr="001A7D3E">
        <w:rPr>
          <w:rFonts w:ascii="Palatino Linotype" w:eastAsia="Palatino Linotype" w:hAnsi="Palatino Linotype" w:cs="Palatino Linotype"/>
          <w:sz w:val="22"/>
          <w:szCs w:val="22"/>
        </w:rPr>
        <w:t xml:space="preserve">62,015.7 crore in the equity segment, compared to </w:t>
      </w:r>
      <w:r w:rsidRPr="001A7D3E">
        <w:rPr>
          <w:rFonts w:ascii="Tahoma" w:eastAsia="Palatino Linotype" w:hAnsi="Tahoma" w:cs="Tahoma"/>
          <w:sz w:val="22"/>
          <w:szCs w:val="22"/>
        </w:rPr>
        <w:t>₹</w:t>
      </w:r>
      <w:r w:rsidRPr="001A7D3E">
        <w:rPr>
          <w:rFonts w:ascii="Palatino Linotype" w:eastAsia="Palatino Linotype" w:hAnsi="Palatino Linotype" w:cs="Palatino Linotype"/>
          <w:sz w:val="22"/>
          <w:szCs w:val="22"/>
        </w:rPr>
        <w:t xml:space="preserve">60,357.7 crore invested during November 2020. The net investment by FPIs in debt securities during December 2020 was </w:t>
      </w:r>
      <w:r w:rsidRPr="001A7D3E">
        <w:rPr>
          <w:rFonts w:ascii="Tahoma" w:eastAsia="Palatino Linotype" w:hAnsi="Tahoma" w:cs="Tahoma"/>
          <w:sz w:val="22"/>
          <w:szCs w:val="22"/>
        </w:rPr>
        <w:t>₹</w:t>
      </w:r>
      <w:r w:rsidRPr="001A7D3E">
        <w:rPr>
          <w:rFonts w:ascii="Palatino Linotype" w:eastAsia="Palatino Linotype" w:hAnsi="Palatino Linotype" w:cs="Palatino Linotype"/>
          <w:sz w:val="22"/>
          <w:szCs w:val="22"/>
        </w:rPr>
        <w:t xml:space="preserve">6,541.7 crore against </w:t>
      </w:r>
      <w:r w:rsidRPr="001A7D3E">
        <w:rPr>
          <w:rFonts w:ascii="Tahoma" w:eastAsia="Palatino Linotype" w:hAnsi="Tahoma" w:cs="Tahoma"/>
          <w:sz w:val="22"/>
          <w:szCs w:val="22"/>
        </w:rPr>
        <w:t>₹</w:t>
      </w:r>
      <w:r w:rsidRPr="001A7D3E">
        <w:rPr>
          <w:rFonts w:ascii="Palatino Linotype" w:eastAsia="Palatino Linotype" w:hAnsi="Palatino Linotype" w:cs="Palatino Linotype"/>
          <w:sz w:val="22"/>
          <w:szCs w:val="22"/>
        </w:rPr>
        <w:t xml:space="preserve">2,593.4 crore invested during November 2020. There was a withdrawal of </w:t>
      </w:r>
      <w:r w:rsidRPr="001A7D3E">
        <w:rPr>
          <w:rFonts w:ascii="Tahoma" w:eastAsia="Palatino Linotype" w:hAnsi="Tahoma" w:cs="Tahoma"/>
          <w:sz w:val="22"/>
          <w:szCs w:val="22"/>
        </w:rPr>
        <w:t>₹</w:t>
      </w:r>
      <w:r w:rsidRPr="001A7D3E">
        <w:rPr>
          <w:rFonts w:ascii="Palatino Linotype" w:eastAsia="Palatino Linotype" w:hAnsi="Palatino Linotype" w:cs="Palatino Linotype"/>
          <w:sz w:val="22"/>
          <w:szCs w:val="22"/>
        </w:rPr>
        <w:t xml:space="preserve">169.4 crore from hybrid securities during November 2020 against investment of  </w:t>
      </w:r>
      <w:r w:rsidRPr="001A7D3E">
        <w:rPr>
          <w:rFonts w:ascii="Tahoma" w:eastAsia="Palatino Linotype" w:hAnsi="Tahoma" w:cs="Tahoma"/>
          <w:sz w:val="22"/>
          <w:szCs w:val="22"/>
        </w:rPr>
        <w:t>₹</w:t>
      </w:r>
      <w:r w:rsidRPr="001A7D3E">
        <w:t xml:space="preserve"> </w:t>
      </w:r>
      <w:r w:rsidRPr="001A7D3E">
        <w:rPr>
          <w:rFonts w:ascii="Palatino Linotype" w:eastAsia="Palatino Linotype" w:hAnsi="Palatino Linotype" w:cs="Palatino Linotype"/>
          <w:sz w:val="22"/>
          <w:szCs w:val="22"/>
        </w:rPr>
        <w:t xml:space="preserve">2,489.1 crore during December 2020. Thus, December 2020 witnessed a net investment of </w:t>
      </w:r>
      <w:r w:rsidRPr="0035078F">
        <w:rPr>
          <w:rFonts w:ascii="Tahoma" w:eastAsia="Palatino Linotype" w:hAnsi="Tahoma" w:cs="Tahoma"/>
          <w:sz w:val="22"/>
          <w:szCs w:val="22"/>
        </w:rPr>
        <w:t>₹</w:t>
      </w:r>
      <w:r w:rsidRPr="0035078F">
        <w:rPr>
          <w:rFonts w:ascii="Palatino Linotype" w:eastAsia="Palatino Linotype" w:hAnsi="Palatino Linotype" w:cs="Palatino Linotype"/>
          <w:sz w:val="22"/>
          <w:szCs w:val="22"/>
        </w:rPr>
        <w:t xml:space="preserve">71,046.5crore by the FPIs, against the net investment of </w:t>
      </w:r>
      <w:r w:rsidRPr="0035078F">
        <w:rPr>
          <w:rFonts w:ascii="Tahoma" w:eastAsia="Palatino Linotype" w:hAnsi="Tahoma" w:cs="Tahoma"/>
          <w:sz w:val="22"/>
          <w:szCs w:val="22"/>
        </w:rPr>
        <w:t>₹</w:t>
      </w:r>
      <w:r w:rsidRPr="0035078F">
        <w:rPr>
          <w:rFonts w:ascii="Palatino Linotype" w:eastAsia="Palatino Linotype" w:hAnsi="Palatino Linotype" w:cs="Palatino Linotype"/>
          <w:sz w:val="22"/>
          <w:szCs w:val="22"/>
        </w:rPr>
        <w:t>62,781.8 crore during November 2020.</w:t>
      </w:r>
    </w:p>
    <w:p w:rsidR="00DD68D0" w:rsidRPr="0035078F" w:rsidRDefault="00DD68D0" w:rsidP="00DD68D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35078F">
        <w:rPr>
          <w:rFonts w:ascii="Palatino Linotype" w:eastAsia="Palatino Linotype" w:hAnsi="Palatino Linotype" w:cs="Palatino Linotype"/>
          <w:sz w:val="22"/>
          <w:szCs w:val="22"/>
        </w:rPr>
        <w:t xml:space="preserve">The assets of FPIs in India, as reported by custodians, as at the end of December 2020 was </w:t>
      </w:r>
      <w:r w:rsidRPr="0035078F">
        <w:rPr>
          <w:rFonts w:ascii="Tahoma" w:eastAsia="Palatino Linotype" w:hAnsi="Tahoma" w:cs="Tahoma"/>
          <w:sz w:val="22"/>
          <w:szCs w:val="22"/>
        </w:rPr>
        <w:t>₹</w:t>
      </w:r>
      <w:r w:rsidRPr="0035078F">
        <w:rPr>
          <w:rFonts w:ascii="Palatino Linotype" w:eastAsia="Palatino Linotype" w:hAnsi="Palatino Linotype" w:cs="Palatino Linotype"/>
          <w:sz w:val="22"/>
          <w:szCs w:val="22"/>
        </w:rPr>
        <w:t xml:space="preserve">41,82,214 crore, out of which the notional value of offshore derivative instruments (ODIs) (including ODIs on derivatives) was </w:t>
      </w:r>
      <w:r w:rsidRPr="0035078F">
        <w:rPr>
          <w:rFonts w:ascii="Tahoma" w:eastAsia="Palatino Linotype" w:hAnsi="Tahoma" w:cs="Tahoma"/>
          <w:sz w:val="22"/>
          <w:szCs w:val="22"/>
        </w:rPr>
        <w:t>₹</w:t>
      </w:r>
      <w:r w:rsidRPr="0035078F">
        <w:rPr>
          <w:rFonts w:ascii="Palatino Linotype" w:eastAsia="Palatino Linotype" w:hAnsi="Palatino Linotype" w:cs="Palatino Linotype"/>
          <w:sz w:val="22"/>
          <w:szCs w:val="22"/>
        </w:rPr>
        <w:t xml:space="preserve">87,132 crore which is 2.1 per cent of total assets of FPIs.  </w:t>
      </w:r>
    </w:p>
    <w:p w:rsidR="00DD68D0" w:rsidRPr="003105AF" w:rsidRDefault="00DD68D0" w:rsidP="00DD68D0">
      <w:pPr>
        <w:rPr>
          <w:rFonts w:ascii="Palatino Linotype" w:eastAsia="Palatino Linotype" w:hAnsi="Palatino Linotype" w:cs="Palatino Linotype"/>
          <w:b/>
          <w:sz w:val="22"/>
          <w:szCs w:val="22"/>
          <w:highlight w:val="yellow"/>
        </w:rPr>
      </w:pP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3105AF">
        <w:rPr>
          <w:rFonts w:ascii="Palatino Linotype" w:eastAsia="Palatino Linotype" w:hAnsi="Palatino Linotype" w:cs="Palatino Linotype"/>
          <w:b/>
          <w:sz w:val="22"/>
          <w:szCs w:val="22"/>
          <w:highlight w:val="yellow"/>
        </w:rPr>
        <w:br w:type="page"/>
      </w:r>
      <w:r w:rsidRPr="00825DF5">
        <w:rPr>
          <w:rFonts w:ascii="Palatino Linotype" w:eastAsia="Palatino Linotype" w:hAnsi="Palatino Linotype" w:cs="Palatino Linotype"/>
          <w:b/>
          <w:sz w:val="22"/>
          <w:szCs w:val="22"/>
        </w:rPr>
        <w:t>Figure 12: Trends in FPIs’ Investments</w:t>
      </w:r>
    </w:p>
    <w:p w:rsidR="00DD68D0" w:rsidRPr="003105AF" w:rsidRDefault="00DD68D0" w:rsidP="00DD68D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825DF5">
        <w:rPr>
          <w:noProof/>
          <w:lang w:val="en-IN" w:eastAsia="en-IN" w:bidi="hi-IN"/>
        </w:rPr>
        <w:drawing>
          <wp:inline distT="0" distB="0" distL="0" distR="0">
            <wp:extent cx="6209030" cy="2966085"/>
            <wp:effectExtent l="0" t="0" r="1270" b="571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68D0" w:rsidRPr="003105AF" w:rsidRDefault="00DD68D0" w:rsidP="00DD68D0">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DD68D0" w:rsidRPr="003105AF" w:rsidRDefault="00DD68D0" w:rsidP="00DD68D0">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1" w:name="_30j0zll" w:colFirst="0" w:colLast="0"/>
      <w:bookmarkEnd w:id="1"/>
    </w:p>
    <w:p w:rsidR="00DD68D0" w:rsidRPr="000859EF" w:rsidRDefault="00DD68D0" w:rsidP="00DD68D0">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0859EF">
        <w:rPr>
          <w:rFonts w:ascii="Palatino Linotype" w:eastAsia="Palatino Linotype" w:hAnsi="Palatino Linotype" w:cs="Palatino Linotype"/>
          <w:b/>
          <w:color w:val="222A35"/>
          <w:sz w:val="22"/>
          <w:szCs w:val="22"/>
        </w:rPr>
        <w:t>Trends in Portfolio Management Services (PMS)</w:t>
      </w:r>
      <w:r w:rsidR="008C772E" w:rsidRPr="000859EF">
        <w:rPr>
          <w:rFonts w:ascii="Palatino Linotype" w:eastAsia="Palatino Linotype" w:hAnsi="Palatino Linotype" w:cs="Palatino Linotype"/>
          <w:b/>
          <w:color w:val="222A35"/>
          <w:sz w:val="22"/>
          <w:szCs w:val="22"/>
        </w:rPr>
        <w:t xml:space="preserve"> *</w:t>
      </w:r>
    </w:p>
    <w:p w:rsidR="00DD68D0" w:rsidRPr="000859EF"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859EF">
        <w:rPr>
          <w:rFonts w:ascii="Palatino Linotype" w:eastAsia="Palatino Linotype" w:hAnsi="Palatino Linotype" w:cs="Palatino Linotype"/>
          <w:sz w:val="22"/>
          <w:szCs w:val="22"/>
        </w:rPr>
        <w:t xml:space="preserve">As at end of October 2020, AUM of the portfolio management industry stood at </w:t>
      </w:r>
      <w:r w:rsidRPr="000859EF">
        <w:rPr>
          <w:rFonts w:ascii="Tahoma" w:eastAsia="Palatino Linotype" w:hAnsi="Tahoma" w:cs="Tahoma"/>
          <w:sz w:val="22"/>
          <w:szCs w:val="22"/>
        </w:rPr>
        <w:t>₹</w:t>
      </w:r>
      <w:r w:rsidRPr="000859EF">
        <w:rPr>
          <w:rFonts w:ascii="Palatino Linotype" w:eastAsia="Palatino Linotype" w:hAnsi="Palatino Linotype" w:cs="Palatino Linotype"/>
          <w:sz w:val="22"/>
          <w:szCs w:val="22"/>
        </w:rPr>
        <w:t xml:space="preserve">19.2 lakh crore. Of the total AUM, funds from EPFO/PFs account for </w:t>
      </w:r>
      <w:r w:rsidRPr="000859EF">
        <w:rPr>
          <w:rFonts w:ascii="Tahoma" w:eastAsia="Palatino Linotype" w:hAnsi="Tahoma" w:cs="Tahoma"/>
          <w:sz w:val="22"/>
          <w:szCs w:val="22"/>
        </w:rPr>
        <w:t>₹</w:t>
      </w:r>
      <w:r w:rsidRPr="000859EF">
        <w:rPr>
          <w:rFonts w:ascii="Palatino Linotype" w:eastAsia="Palatino Linotype" w:hAnsi="Palatino Linotype" w:cs="Palatino Linotype"/>
          <w:sz w:val="22"/>
          <w:szCs w:val="22"/>
        </w:rPr>
        <w:t xml:space="preserve">14.6 lakh crore. </w:t>
      </w:r>
    </w:p>
    <w:p w:rsidR="00DD68D0" w:rsidRPr="000859EF" w:rsidRDefault="00DD68D0" w:rsidP="008C772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859EF">
        <w:rPr>
          <w:rFonts w:ascii="Palatino Linotype" w:eastAsia="Palatino Linotype" w:hAnsi="Palatino Linotype" w:cs="Palatino Linotype"/>
          <w:sz w:val="22"/>
          <w:szCs w:val="22"/>
        </w:rPr>
        <w:t xml:space="preserve">There were 1,55,796 total clients in PMS industry as at the end of October 2020, of which 1,45,404 clients belong to discretionary services category, 8,409 clients belong to non-discretionary services category and 1,983 clients belong to advisory services category of portfolio management services.   </w:t>
      </w:r>
    </w:p>
    <w:p w:rsidR="008C772E" w:rsidRDefault="008C772E" w:rsidP="008C772E">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DD68D0" w:rsidRPr="00F16E2C" w:rsidRDefault="00DD68D0" w:rsidP="00DD68D0">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F16E2C">
        <w:rPr>
          <w:rFonts w:ascii="Palatino Linotype" w:eastAsia="Palatino Linotype" w:hAnsi="Palatino Linotype" w:cs="Palatino Linotype"/>
          <w:b/>
          <w:color w:val="222A35"/>
          <w:sz w:val="22"/>
          <w:szCs w:val="22"/>
        </w:rPr>
        <w:t>Trends in Substantial Acquisition of Shares and Takeovers</w:t>
      </w:r>
    </w:p>
    <w:p w:rsidR="00DD68D0" w:rsidRPr="00F16E2C" w:rsidRDefault="00DD68D0" w:rsidP="00DD68D0">
      <w:pPr>
        <w:numPr>
          <w:ilvl w:val="0"/>
          <w:numId w:val="1"/>
        </w:numPr>
        <w:jc w:val="both"/>
        <w:rPr>
          <w:rFonts w:ascii="Palatino Linotype" w:eastAsia="Palatino Linotype" w:hAnsi="Palatino Linotype" w:cs="Palatino Linotype"/>
          <w:sz w:val="22"/>
          <w:szCs w:val="22"/>
        </w:rPr>
      </w:pPr>
      <w:r w:rsidRPr="00F16E2C">
        <w:rPr>
          <w:rFonts w:ascii="Palatino Linotype" w:eastAsia="Palatino Linotype" w:hAnsi="Palatino Linotype" w:cs="Palatino Linotype"/>
          <w:sz w:val="22"/>
          <w:szCs w:val="22"/>
        </w:rPr>
        <w:t xml:space="preserve">During December 2020, four open offers with offer value of </w:t>
      </w:r>
      <w:r w:rsidRPr="00F16E2C">
        <w:rPr>
          <w:rFonts w:ascii="Times New Roman" w:eastAsia="Palatino Linotype" w:hAnsi="Times New Roman"/>
          <w:sz w:val="22"/>
          <w:szCs w:val="22"/>
        </w:rPr>
        <w:t>₹</w:t>
      </w:r>
      <w:r w:rsidRPr="00F16E2C">
        <w:rPr>
          <w:rFonts w:ascii="Palatino Linotype" w:eastAsia="Palatino Linotype" w:hAnsi="Palatino Linotype" w:cs="Palatino Linotype"/>
          <w:sz w:val="22"/>
          <w:szCs w:val="22"/>
        </w:rPr>
        <w:t xml:space="preserve">47.5 crore were </w:t>
      </w:r>
      <w:r>
        <w:rPr>
          <w:rFonts w:ascii="Palatino Linotype" w:eastAsia="Palatino Linotype" w:hAnsi="Palatino Linotype" w:cs="Palatino Linotype"/>
          <w:sz w:val="22"/>
          <w:szCs w:val="22"/>
        </w:rPr>
        <w:t>closed</w:t>
      </w:r>
      <w:r w:rsidRPr="00F16E2C">
        <w:rPr>
          <w:rFonts w:ascii="Palatino Linotype" w:eastAsia="Palatino Linotype" w:hAnsi="Palatino Linotype" w:cs="Palatino Linotype"/>
          <w:sz w:val="22"/>
          <w:szCs w:val="22"/>
        </w:rPr>
        <w:t xml:space="preserve"> </w:t>
      </w:r>
      <w:r w:rsidRPr="00F16E2C">
        <w:rPr>
          <w:rFonts w:ascii="Palatino Linotype" w:eastAsia="Palatino Linotype" w:hAnsi="Palatino Linotype" w:cs="Palatino Linotype"/>
          <w:color w:val="222A35"/>
          <w:sz w:val="22"/>
          <w:szCs w:val="22"/>
        </w:rPr>
        <w:t xml:space="preserve">under SEBI (Substantial Acquisition of Shares and Takeover) Regulations, 2011 (SAST Regulations). </w:t>
      </w:r>
      <w:r w:rsidRPr="00F16E2C">
        <w:rPr>
          <w:rFonts w:ascii="Palatino Linotype" w:eastAsia="Palatino Linotype" w:hAnsi="Palatino Linotype" w:cs="Palatino Linotype"/>
          <w:sz w:val="22"/>
          <w:szCs w:val="22"/>
        </w:rPr>
        <w:t xml:space="preserve">There were no offers </w:t>
      </w:r>
      <w:r>
        <w:rPr>
          <w:rFonts w:ascii="Palatino Linotype" w:eastAsia="Palatino Linotype" w:hAnsi="Palatino Linotype" w:cs="Palatino Linotype"/>
          <w:sz w:val="22"/>
          <w:szCs w:val="22"/>
        </w:rPr>
        <w:t>closed</w:t>
      </w:r>
      <w:r w:rsidRPr="00F16E2C">
        <w:rPr>
          <w:rFonts w:ascii="Palatino Linotype" w:eastAsia="Palatino Linotype" w:hAnsi="Palatino Linotype" w:cs="Palatino Linotype"/>
          <w:sz w:val="22"/>
          <w:szCs w:val="22"/>
        </w:rPr>
        <w:t xml:space="preserve"> in the month of November 2020.</w:t>
      </w: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Pr="003105AF"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DD68D0" w:rsidRPr="003105AF" w:rsidRDefault="00DD68D0" w:rsidP="00DD68D0">
      <w:pPr>
        <w:jc w:val="center"/>
        <w:rPr>
          <w:rFonts w:ascii="Palatino Linotype" w:eastAsia="Palatino Linotype" w:hAnsi="Palatino Linotype" w:cs="Palatino Linotype"/>
          <w:b/>
          <w:color w:val="222A35"/>
          <w:sz w:val="22"/>
          <w:szCs w:val="22"/>
          <w:highlight w:val="yellow"/>
        </w:rPr>
      </w:pPr>
    </w:p>
    <w:p w:rsidR="00DD68D0" w:rsidRPr="00A65413" w:rsidRDefault="00DD68D0" w:rsidP="00DD68D0">
      <w:pPr>
        <w:jc w:val="center"/>
        <w:rPr>
          <w:rFonts w:ascii="Palatino Linotype" w:eastAsia="Palatino Linotype" w:hAnsi="Palatino Linotype" w:cs="Palatino Linotype"/>
          <w:b/>
          <w:color w:val="222A35"/>
          <w:sz w:val="22"/>
          <w:szCs w:val="22"/>
        </w:rPr>
      </w:pPr>
      <w:r w:rsidRPr="00A65413">
        <w:rPr>
          <w:rFonts w:ascii="Palatino Linotype" w:eastAsia="Palatino Linotype" w:hAnsi="Palatino Linotype" w:cs="Palatino Linotype"/>
          <w:b/>
          <w:color w:val="222A35"/>
          <w:sz w:val="22"/>
          <w:szCs w:val="22"/>
        </w:rPr>
        <w:t>Figure 13: Details of Open Offers made under the SEBI (SAST) Regulations</w:t>
      </w:r>
    </w:p>
    <w:p w:rsidR="00DD68D0" w:rsidRPr="003105AF" w:rsidRDefault="00DD68D0" w:rsidP="00DD68D0">
      <w:pPr>
        <w:spacing w:line="276" w:lineRule="auto"/>
        <w:jc w:val="center"/>
        <w:rPr>
          <w:rFonts w:ascii="Palatino Linotype" w:eastAsia="Palatino Linotype" w:hAnsi="Palatino Linotype" w:cs="Palatino Linotype"/>
          <w:b/>
          <w:color w:val="222A35"/>
          <w:sz w:val="22"/>
          <w:szCs w:val="22"/>
          <w:highlight w:val="yellow"/>
        </w:rPr>
      </w:pPr>
      <w:r w:rsidRPr="00A65413">
        <w:rPr>
          <w:noProof/>
          <w:lang w:val="en-IN" w:eastAsia="en-IN" w:bidi="hi-IN"/>
        </w:rPr>
        <w:drawing>
          <wp:inline distT="0" distB="0" distL="0" distR="0">
            <wp:extent cx="4712335" cy="2293620"/>
            <wp:effectExtent l="0" t="0" r="12065" b="11430"/>
            <wp:docPr id="7" name="Chart 7" descr="Title: Amount (Rs. Cror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68D0" w:rsidRPr="003105AF" w:rsidRDefault="00DD68D0" w:rsidP="00DD68D0">
      <w:pPr>
        <w:widowControl w:val="0"/>
        <w:spacing w:line="276" w:lineRule="auto"/>
        <w:contextualSpacing/>
        <w:jc w:val="both"/>
        <w:rPr>
          <w:rFonts w:ascii="Palatino Linotype" w:eastAsia="Palatino Linotype" w:hAnsi="Palatino Linotype" w:cs="Palatino Linotype"/>
          <w:color w:val="2E74B5"/>
          <w:sz w:val="22"/>
          <w:szCs w:val="22"/>
          <w:highlight w:val="yellow"/>
          <w:lang w:val="en-US"/>
        </w:rPr>
      </w:pPr>
    </w:p>
    <w:p w:rsidR="00DD68D0" w:rsidRPr="0004224A" w:rsidRDefault="00DD68D0" w:rsidP="00DD68D0">
      <w:pPr>
        <w:widowControl w:val="0"/>
        <w:ind w:left="-284"/>
        <w:jc w:val="both"/>
        <w:rPr>
          <w:rFonts w:ascii="Palatino Linotype" w:eastAsia="Times New Roman" w:hAnsi="Palatino Linotype"/>
          <w:b/>
          <w:color w:val="0F0684"/>
        </w:rPr>
      </w:pPr>
      <w:r w:rsidRPr="0004224A">
        <w:rPr>
          <w:rFonts w:ascii="Palatino Linotype" w:hAnsi="Palatino Linotype"/>
          <w:b/>
          <w:color w:val="0F0684"/>
        </w:rPr>
        <w:t>IX.     Commodity Derivatives Markets</w:t>
      </w:r>
    </w:p>
    <w:p w:rsidR="00DD68D0" w:rsidRPr="0004224A" w:rsidRDefault="00DD68D0" w:rsidP="00DD68D0">
      <w:pPr>
        <w:pStyle w:val="ListParagraph"/>
        <w:spacing w:after="0" w:line="240" w:lineRule="auto"/>
        <w:jc w:val="both"/>
        <w:rPr>
          <w:rFonts w:ascii="Palatino Linotype" w:eastAsia="Times New Roman" w:hAnsi="Palatino Linotype"/>
          <w:b/>
          <w:color w:val="000000"/>
          <w:sz w:val="22"/>
          <w:szCs w:val="22"/>
        </w:rPr>
      </w:pPr>
    </w:p>
    <w:p w:rsidR="00DD68D0" w:rsidRPr="0004224A" w:rsidRDefault="00DD68D0" w:rsidP="00DD68D0">
      <w:pPr>
        <w:pStyle w:val="ListParagraph"/>
        <w:numPr>
          <w:ilvl w:val="0"/>
          <w:numId w:val="27"/>
        </w:numPr>
        <w:spacing w:after="0" w:line="240" w:lineRule="auto"/>
        <w:ind w:left="-284" w:firstLine="0"/>
        <w:jc w:val="both"/>
        <w:rPr>
          <w:rFonts w:ascii="Palatino Linotype" w:eastAsia="Times New Roman" w:hAnsi="Palatino Linotype"/>
          <w:b/>
          <w:color w:val="000000"/>
          <w:sz w:val="22"/>
          <w:szCs w:val="22"/>
        </w:rPr>
      </w:pPr>
      <w:r w:rsidRPr="0004224A">
        <w:rPr>
          <w:rFonts w:ascii="Palatino Linotype" w:eastAsia="Times New Roman" w:hAnsi="Palatino Linotype"/>
          <w:b/>
          <w:color w:val="000000"/>
          <w:sz w:val="22"/>
          <w:szCs w:val="22"/>
        </w:rPr>
        <w:t xml:space="preserve">      Market Trends</w:t>
      </w:r>
    </w:p>
    <w:p w:rsidR="00DD68D0" w:rsidRPr="00B77D80" w:rsidRDefault="00DD68D0" w:rsidP="00DD68D0">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D68D0" w:rsidRPr="00B77D80"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B77D80">
        <w:rPr>
          <w:rFonts w:ascii="Palatino Linotype" w:eastAsia="Palatino Linotype" w:hAnsi="Palatino Linotype" w:cs="Palatino Linotype"/>
          <w:sz w:val="22"/>
          <w:szCs w:val="22"/>
        </w:rPr>
        <w:t xml:space="preserve">During December 2020, MCX iCOMDEX composite index, witnessed an increase of 3.5 per cent (M-o-M) driven by increase in futures prices of base metals (except lead), bullion, energy (crude oil) and agri. segment. On Y-o-Y basis, MCX iCOMDEX composite index decreased by 0.8 per cent. </w:t>
      </w:r>
    </w:p>
    <w:p w:rsidR="00DD68D0" w:rsidRPr="00B77D80"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B77D80">
        <w:rPr>
          <w:rFonts w:ascii="Palatino Linotype" w:eastAsia="Palatino Linotype" w:hAnsi="Palatino Linotype" w:cs="Palatino Linotype"/>
          <w:sz w:val="22"/>
          <w:szCs w:val="22"/>
        </w:rPr>
        <w:t>During the month, MCX iCOMDEX crude oil index increased by 5.2 per cent on account of increase in futures price of crude oil by 6.0 per cent. MCX iCOMDEX base metal index decreased by 1.1 per cent as the price of lead declined by 2.2 per cent during the month. However, futures prices of other base metals viz. aluminium, copper, nickel and zinc increased in December 2020. MCX iCOMDEX bullion index increased by 6.6 per cent due to increase in futures prices of gold and silver by 4.9 per cent and 15.2 per cent respectively. In the agri. segment, futures prices of all the traded commodities except cardamom increased during the month. Cardamom contract w</w:t>
      </w:r>
      <w:r w:rsidR="00E66862">
        <w:rPr>
          <w:rFonts w:ascii="Palatino Linotype" w:eastAsia="Palatino Linotype" w:hAnsi="Palatino Linotype" w:cs="Palatino Linotype"/>
          <w:sz w:val="22"/>
          <w:szCs w:val="22"/>
        </w:rPr>
        <w:t>as not traded during the month of December 2020.</w:t>
      </w:r>
    </w:p>
    <w:p w:rsidR="00DD68D0" w:rsidRPr="00B77D80"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B77D80">
        <w:rPr>
          <w:rFonts w:ascii="Palatino Linotype" w:eastAsia="Palatino Linotype" w:hAnsi="Palatino Linotype" w:cs="Palatino Linotype"/>
          <w:sz w:val="22"/>
          <w:szCs w:val="22"/>
        </w:rPr>
        <w:t xml:space="preserve">NKrishi index decreased by 2.8 per cent (M-o-M) as futures prices of seven out of 10 constituent commodities of the index viz. guarseed, chana, RM seed, cottonseed oilcake, jeera, coriander and castorseed witnessed downtrend. On Y-o-Y basis NKrishi index increased by 1.5 per cent. </w:t>
      </w:r>
    </w:p>
    <w:p w:rsidR="00DD68D0" w:rsidRPr="00B77D80"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B77D80">
        <w:rPr>
          <w:rFonts w:ascii="Palatino Linotype" w:eastAsia="Palatino Linotype" w:hAnsi="Palatino Linotype" w:cs="Palatino Linotype"/>
          <w:sz w:val="22"/>
          <w:szCs w:val="22"/>
        </w:rPr>
        <w:t>Monthly trends in MCX iCOMDEX composite Index and NKrishi Index are provided in Table 64.</w:t>
      </w:r>
    </w:p>
    <w:p w:rsidR="00DD68D0" w:rsidRPr="003105AF" w:rsidRDefault="00DD68D0" w:rsidP="00DD68D0">
      <w:pPr>
        <w:pStyle w:val="ListParagraph"/>
        <w:spacing w:after="0" w:line="240" w:lineRule="auto"/>
        <w:ind w:left="426" w:hanging="142"/>
        <w:rPr>
          <w:rFonts w:ascii="Palatino Linotype" w:eastAsia="Times New Roman" w:hAnsi="Palatino Linotype"/>
          <w:b/>
          <w:color w:val="2E74B5"/>
          <w:sz w:val="22"/>
          <w:szCs w:val="22"/>
          <w:highlight w:val="yellow"/>
        </w:rPr>
      </w:pPr>
    </w:p>
    <w:p w:rsidR="00DD68D0" w:rsidRDefault="00DD68D0" w:rsidP="00DD68D0">
      <w:pPr>
        <w:pStyle w:val="ListParagraph"/>
        <w:spacing w:after="0" w:line="240" w:lineRule="auto"/>
        <w:ind w:left="142" w:hanging="142"/>
        <w:jc w:val="center"/>
        <w:rPr>
          <w:rFonts w:ascii="Palatino Linotype" w:eastAsia="Times New Roman" w:hAnsi="Palatino Linotype"/>
          <w:b/>
          <w:sz w:val="22"/>
          <w:szCs w:val="22"/>
        </w:rPr>
      </w:pPr>
      <w:r w:rsidRPr="003105AF">
        <w:rPr>
          <w:rFonts w:ascii="Palatino Linotype" w:eastAsia="Times New Roman" w:hAnsi="Palatino Linotype"/>
          <w:b/>
          <w:sz w:val="22"/>
          <w:szCs w:val="22"/>
          <w:highlight w:val="yellow"/>
        </w:rPr>
        <w:br w:type="page"/>
      </w:r>
      <w:r w:rsidRPr="009B2971">
        <w:rPr>
          <w:rFonts w:ascii="Palatino Linotype" w:eastAsia="Times New Roman" w:hAnsi="Palatino Linotype"/>
          <w:b/>
          <w:sz w:val="22"/>
          <w:szCs w:val="22"/>
        </w:rPr>
        <w:t xml:space="preserve">Figure 14: Movement of Commodity Derivatives Market Indices during </w:t>
      </w:r>
      <w:r>
        <w:rPr>
          <w:rFonts w:ascii="Palatino Linotype" w:eastAsia="Times New Roman" w:hAnsi="Palatino Linotype"/>
          <w:b/>
          <w:sz w:val="22"/>
          <w:szCs w:val="22"/>
        </w:rPr>
        <w:t>Dec-</w:t>
      </w:r>
      <w:r w:rsidRPr="009B2971">
        <w:rPr>
          <w:rFonts w:ascii="Palatino Linotype" w:eastAsia="Times New Roman" w:hAnsi="Palatino Linotype"/>
          <w:b/>
          <w:sz w:val="22"/>
          <w:szCs w:val="22"/>
        </w:rPr>
        <w:t>2020</w:t>
      </w:r>
    </w:p>
    <w:p w:rsidR="00DD68D0" w:rsidRPr="00DB6672" w:rsidRDefault="00DD68D0" w:rsidP="00DD68D0">
      <w:pPr>
        <w:pStyle w:val="ListParagraph"/>
        <w:spacing w:after="0" w:line="240" w:lineRule="auto"/>
        <w:ind w:left="142" w:hanging="142"/>
        <w:jc w:val="center"/>
        <w:rPr>
          <w:rFonts w:ascii="Palatino Linotype" w:eastAsia="Times New Roman" w:hAnsi="Palatino Linotype"/>
          <w:b/>
          <w:color w:val="2E74B5"/>
          <w:sz w:val="22"/>
          <w:szCs w:val="22"/>
        </w:rPr>
      </w:pPr>
    </w:p>
    <w:p w:rsidR="00DD68D0" w:rsidRPr="003105AF" w:rsidRDefault="00DD68D0" w:rsidP="00DD68D0">
      <w:pPr>
        <w:pStyle w:val="ListParagraph"/>
        <w:spacing w:after="0" w:line="240" w:lineRule="auto"/>
        <w:ind w:left="142" w:hanging="142"/>
        <w:jc w:val="center"/>
        <w:rPr>
          <w:rFonts w:ascii="Palatino Linotype" w:eastAsia="Times New Roman" w:hAnsi="Palatino Linotype"/>
          <w:b/>
          <w:color w:val="2E74B5"/>
          <w:sz w:val="22"/>
          <w:szCs w:val="22"/>
        </w:rPr>
      </w:pPr>
      <w:r w:rsidRPr="00DB6672">
        <w:rPr>
          <w:noProof/>
          <w:lang w:val="en-IN" w:eastAsia="en-IN" w:bidi="hi-IN"/>
        </w:rPr>
        <w:drawing>
          <wp:inline distT="0" distB="0" distL="0" distR="0">
            <wp:extent cx="4913630" cy="2672715"/>
            <wp:effectExtent l="0" t="0" r="1270" b="1333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68D0" w:rsidRPr="00DB6672" w:rsidRDefault="00DD68D0" w:rsidP="00DD68D0">
      <w:pPr>
        <w:pStyle w:val="ListParagraph"/>
        <w:spacing w:after="0" w:line="240" w:lineRule="auto"/>
        <w:ind w:left="142" w:hanging="142"/>
        <w:jc w:val="center"/>
        <w:rPr>
          <w:rFonts w:ascii="Palatino Linotype" w:eastAsia="Times New Roman" w:hAnsi="Palatino Linotype"/>
          <w:b/>
          <w:color w:val="2E74B5"/>
          <w:sz w:val="22"/>
          <w:szCs w:val="22"/>
        </w:rPr>
      </w:pPr>
    </w:p>
    <w:p w:rsidR="00DD68D0" w:rsidRPr="00DB6672" w:rsidRDefault="00DD68D0" w:rsidP="00DD68D0">
      <w:pPr>
        <w:pStyle w:val="ListParagraph"/>
        <w:spacing w:after="0" w:line="480" w:lineRule="auto"/>
        <w:ind w:left="-426"/>
        <w:rPr>
          <w:rFonts w:ascii="Palatino Linotype" w:hAnsi="Palatino Linotype" w:cs="Arial"/>
          <w:b/>
          <w:bCs/>
          <w:sz w:val="22"/>
          <w:szCs w:val="22"/>
        </w:rPr>
      </w:pPr>
      <w:r w:rsidRPr="00DB6672">
        <w:rPr>
          <w:rFonts w:ascii="Palatino Linotype" w:hAnsi="Palatino Linotype" w:cs="Arial"/>
          <w:b/>
          <w:bCs/>
          <w:sz w:val="22"/>
          <w:szCs w:val="22"/>
        </w:rPr>
        <w:t xml:space="preserve">                          </w:t>
      </w:r>
      <w:r w:rsidRPr="00DB6672">
        <w:rPr>
          <w:rFonts w:ascii="Palatino Linotype" w:hAnsi="Palatino Linotype" w:cs="Arial"/>
          <w:b/>
          <w:bCs/>
          <w:sz w:val="18"/>
          <w:szCs w:val="18"/>
        </w:rPr>
        <w:t>Source: MCX and NCDEX</w:t>
      </w:r>
    </w:p>
    <w:p w:rsidR="00DD68D0" w:rsidRPr="003105AF" w:rsidRDefault="00DD68D0" w:rsidP="00DD68D0">
      <w:pPr>
        <w:ind w:left="-426"/>
        <w:jc w:val="both"/>
        <w:rPr>
          <w:rFonts w:ascii="Palatino Linotype" w:hAnsi="Palatino Linotype"/>
          <w:highlight w:val="yellow"/>
        </w:rPr>
      </w:pPr>
      <w:r w:rsidRPr="003105AF">
        <w:rPr>
          <w:rFonts w:ascii="Palatino Linotype" w:hAnsi="Palatino Linotype" w:cs="Arial"/>
          <w:b/>
          <w:bCs/>
          <w:highlight w:val="yellow"/>
        </w:rPr>
        <w:t xml:space="preserve">           </w:t>
      </w:r>
    </w:p>
    <w:p w:rsidR="00DD68D0" w:rsidRPr="004869EC" w:rsidRDefault="00DD68D0" w:rsidP="00DD68D0">
      <w:pPr>
        <w:pStyle w:val="ListParagraph"/>
        <w:spacing w:after="0" w:line="240" w:lineRule="auto"/>
        <w:jc w:val="center"/>
        <w:rPr>
          <w:rFonts w:ascii="Palatino Linotype" w:hAnsi="Palatino Linotype" w:cs="Arial"/>
          <w:b/>
          <w:bCs/>
          <w:sz w:val="22"/>
          <w:szCs w:val="22"/>
        </w:rPr>
      </w:pPr>
      <w:r w:rsidRPr="004869EC">
        <w:rPr>
          <w:rFonts w:ascii="Palatino Linotype" w:hAnsi="Palatino Linotype" w:cs="Arial"/>
          <w:b/>
          <w:bCs/>
          <w:sz w:val="22"/>
          <w:szCs w:val="22"/>
        </w:rPr>
        <w:t>Table 4: Snapshot of Indian Commodity Derivative Markets</w:t>
      </w:r>
    </w:p>
    <w:tbl>
      <w:tblPr>
        <w:tblpPr w:leftFromText="180" w:rightFromText="180" w:vertAnchor="text" w:tblpXSpec="center" w:tblpY="1"/>
        <w:tblOverlap w:val="never"/>
        <w:tblW w:w="8784" w:type="dxa"/>
        <w:jc w:val="center"/>
        <w:tblLook w:val="04A0" w:firstRow="1" w:lastRow="0" w:firstColumn="1" w:lastColumn="0" w:noHBand="0" w:noVBand="1"/>
      </w:tblPr>
      <w:tblGrid>
        <w:gridCol w:w="3271"/>
        <w:gridCol w:w="1128"/>
        <w:gridCol w:w="1236"/>
        <w:gridCol w:w="1319"/>
        <w:gridCol w:w="1830"/>
      </w:tblGrid>
      <w:tr w:rsidR="00DD68D0" w:rsidRPr="00B92D2D" w:rsidTr="00932FDF">
        <w:trPr>
          <w:trHeight w:val="699"/>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2019-20</w:t>
            </w:r>
          </w:p>
        </w:tc>
        <w:tc>
          <w:tcPr>
            <w:tcW w:w="1236" w:type="dxa"/>
            <w:tcBorders>
              <w:top w:val="single" w:sz="4" w:space="0" w:color="auto"/>
              <w:left w:val="single" w:sz="4" w:space="0" w:color="auto"/>
              <w:right w:val="single" w:sz="4" w:space="0" w:color="auto"/>
            </w:tcBorders>
          </w:tcPr>
          <w:p w:rsidR="00DD68D0" w:rsidRPr="00DF31BD" w:rsidRDefault="00DD68D0" w:rsidP="00932FDF">
            <w:pPr>
              <w:rPr>
                <w:rFonts w:ascii="Palatino Linotype" w:hAnsi="Palatino Linotype" w:cs="Arial"/>
                <w:b/>
                <w:bCs/>
                <w:sz w:val="18"/>
                <w:szCs w:val="18"/>
              </w:rPr>
            </w:pPr>
            <w:r>
              <w:rPr>
                <w:rFonts w:ascii="Palatino Linotype" w:hAnsi="Palatino Linotype" w:cs="Arial"/>
                <w:b/>
                <w:bCs/>
                <w:sz w:val="18"/>
                <w:szCs w:val="18"/>
              </w:rPr>
              <w:t>Nov</w:t>
            </w:r>
            <w:r w:rsidRPr="00DF31BD">
              <w:rPr>
                <w:rFonts w:ascii="Palatino Linotype" w:hAnsi="Palatino Linotype" w:cs="Arial"/>
                <w:b/>
                <w:bCs/>
                <w:sz w:val="18"/>
                <w:szCs w:val="18"/>
              </w:rPr>
              <w:t>- 2020</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DD68D0" w:rsidRPr="00DF31BD" w:rsidRDefault="00DD68D0" w:rsidP="00932FDF">
            <w:pPr>
              <w:rPr>
                <w:rFonts w:ascii="Palatino Linotype" w:hAnsi="Palatino Linotype" w:cs="Arial"/>
                <w:b/>
                <w:bCs/>
                <w:sz w:val="18"/>
                <w:szCs w:val="18"/>
              </w:rPr>
            </w:pPr>
            <w:r>
              <w:rPr>
                <w:rFonts w:ascii="Palatino Linotype" w:hAnsi="Palatino Linotype" w:cs="Arial"/>
                <w:b/>
                <w:bCs/>
                <w:sz w:val="18"/>
                <w:szCs w:val="18"/>
              </w:rPr>
              <w:t>Dec</w:t>
            </w:r>
            <w:r w:rsidRPr="00DF31BD">
              <w:rPr>
                <w:rFonts w:ascii="Palatino Linotype" w:hAnsi="Palatino Linotype" w:cs="Arial"/>
                <w:b/>
                <w:bCs/>
                <w:sz w:val="18"/>
                <w:szCs w:val="18"/>
              </w:rPr>
              <w:t xml:space="preserve"> -2020</w:t>
            </w:r>
          </w:p>
        </w:tc>
        <w:tc>
          <w:tcPr>
            <w:tcW w:w="1830" w:type="dxa"/>
            <w:tcBorders>
              <w:top w:val="single" w:sz="4" w:space="0" w:color="auto"/>
              <w:left w:val="single" w:sz="4" w:space="0" w:color="auto"/>
              <w:bottom w:val="single" w:sz="4" w:space="0" w:color="000000"/>
              <w:right w:val="single" w:sz="4" w:space="0" w:color="auto"/>
            </w:tcBorders>
            <w:shd w:val="clear" w:color="auto" w:fill="auto"/>
            <w:hideMark/>
          </w:tcPr>
          <w:p w:rsidR="00DD68D0"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 xml:space="preserve">Percentage variation </w:t>
            </w:r>
          </w:p>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M-o-M</w:t>
            </w:r>
          </w:p>
        </w:tc>
      </w:tr>
      <w:tr w:rsidR="00DD68D0" w:rsidRPr="00B92D2D" w:rsidTr="00932FDF">
        <w:trPr>
          <w:trHeight w:val="367"/>
          <w:jc w:val="center"/>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pStyle w:val="ListParagraph"/>
              <w:numPr>
                <w:ilvl w:val="0"/>
                <w:numId w:val="11"/>
              </w:numPr>
              <w:spacing w:after="0" w:line="240" w:lineRule="auto"/>
              <w:ind w:left="317" w:hanging="284"/>
              <w:rPr>
                <w:rFonts w:ascii="Palatino Linotype" w:hAnsi="Palatino Linotype" w:cs="Arial"/>
                <w:b/>
                <w:bCs/>
                <w:sz w:val="18"/>
                <w:szCs w:val="18"/>
              </w:rPr>
            </w:pPr>
            <w:r w:rsidRPr="00DF31BD">
              <w:rPr>
                <w:rFonts w:ascii="Palatino Linotype" w:hAnsi="Palatino Linotype" w:cs="Arial"/>
                <w:b/>
                <w:bCs/>
                <w:sz w:val="18"/>
                <w:szCs w:val="18"/>
              </w:rPr>
              <w:t>Indices</w:t>
            </w:r>
          </w:p>
        </w:tc>
      </w:tr>
      <w:tr w:rsidR="00DD68D0" w:rsidRPr="00B92D2D" w:rsidTr="00932FDF">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hideMark/>
          </w:tcPr>
          <w:p w:rsidR="00DD68D0" w:rsidRPr="00DF31BD" w:rsidRDefault="00DD68D0" w:rsidP="00932FDF">
            <w:pPr>
              <w:rPr>
                <w:rFonts w:ascii="Palatino Linotype" w:hAnsi="Palatino Linotype" w:cs="Arial"/>
                <w:bCs/>
                <w:sz w:val="18"/>
                <w:szCs w:val="18"/>
              </w:rPr>
            </w:pPr>
            <w:r w:rsidRPr="00DF31BD">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 3,180</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3,771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3,666</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-2.8</w:t>
            </w:r>
          </w:p>
        </w:tc>
      </w:tr>
      <w:tr w:rsidR="00DD68D0" w:rsidRPr="00B92D2D" w:rsidTr="00932FDF">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rPr>
                <w:rFonts w:ascii="Palatino Linotype" w:hAnsi="Palatino Linotype" w:cs="Arial"/>
                <w:bCs/>
                <w:sz w:val="18"/>
                <w:szCs w:val="18"/>
              </w:rPr>
            </w:pPr>
            <w:r w:rsidRPr="00DF31BD">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8,256</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10,149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10,504</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3.5</w:t>
            </w:r>
          </w:p>
        </w:tc>
      </w:tr>
      <w:tr w:rsidR="00DD68D0" w:rsidRPr="00B92D2D" w:rsidTr="00932FDF">
        <w:trPr>
          <w:trHeight w:val="224"/>
          <w:jc w:val="center"/>
        </w:trPr>
        <w:tc>
          <w:tcPr>
            <w:tcW w:w="8784" w:type="dxa"/>
            <w:gridSpan w:val="5"/>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pStyle w:val="ListParagraph"/>
              <w:numPr>
                <w:ilvl w:val="0"/>
                <w:numId w:val="11"/>
              </w:numPr>
              <w:spacing w:after="0" w:line="240" w:lineRule="auto"/>
              <w:ind w:left="317" w:hanging="317"/>
              <w:rPr>
                <w:rFonts w:ascii="Palatino Linotype" w:hAnsi="Palatino Linotype" w:cs="Arial"/>
                <w:bCs/>
                <w:sz w:val="18"/>
                <w:szCs w:val="18"/>
              </w:rPr>
            </w:pPr>
            <w:r w:rsidRPr="00DF31BD">
              <w:rPr>
                <w:rFonts w:ascii="Palatino Linotype" w:hAnsi="Palatino Linotype" w:cs="Arial"/>
                <w:b/>
                <w:bCs/>
                <w:sz w:val="18"/>
                <w:szCs w:val="18"/>
              </w:rPr>
              <w:t>Turnover (</w:t>
            </w:r>
            <w:r w:rsidRPr="00DF31BD">
              <w:rPr>
                <w:rFonts w:ascii="Times New Roman" w:hAnsi="Times New Roman"/>
                <w:b/>
                <w:bCs/>
                <w:sz w:val="18"/>
                <w:szCs w:val="18"/>
              </w:rPr>
              <w:t>₹</w:t>
            </w:r>
            <w:r w:rsidRPr="00DF31BD">
              <w:rPr>
                <w:rFonts w:ascii="Palatino Linotype" w:hAnsi="Palatino Linotype" w:cs="Arial"/>
                <w:b/>
                <w:bCs/>
                <w:sz w:val="18"/>
                <w:szCs w:val="18"/>
              </w:rPr>
              <w:t>crore)</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hideMark/>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DD68D0" w:rsidRPr="00DF31BD" w:rsidRDefault="00DD68D0" w:rsidP="00932FDF">
            <w:pPr>
              <w:jc w:val="right"/>
              <w:rPr>
                <w:rFonts w:ascii="Palatino Linotype" w:hAnsi="Palatino Linotype" w:cs="Arial"/>
                <w:b/>
                <w:bCs/>
                <w:sz w:val="18"/>
                <w:szCs w:val="18"/>
              </w:rPr>
            </w:pPr>
            <w:r w:rsidRPr="00DF31BD">
              <w:rPr>
                <w:rFonts w:ascii="Palatino Linotype" w:hAnsi="Palatino Linotype" w:cs="Arial"/>
                <w:b/>
                <w:bCs/>
                <w:sz w:val="18"/>
                <w:szCs w:val="18"/>
              </w:rPr>
              <w:t>92,24,839</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8,47,611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7,79,471</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-8.0</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tabs>
                <w:tab w:val="right" w:pos="912"/>
              </w:tabs>
              <w:rPr>
                <w:rFonts w:ascii="Palatino Linotype" w:hAnsi="Palatino Linotype" w:cs="Arial"/>
                <w:b/>
                <w:bCs/>
                <w:sz w:val="18"/>
                <w:szCs w:val="18"/>
              </w:rPr>
            </w:pPr>
            <w:r>
              <w:rPr>
                <w:rFonts w:ascii="Palatino Linotype" w:hAnsi="Palatino Linotype" w:cs="Arial"/>
                <w:b/>
                <w:bCs/>
                <w:sz w:val="18"/>
                <w:szCs w:val="18"/>
              </w:rPr>
              <w:t xml:space="preserve">    </w:t>
            </w:r>
            <w:r w:rsidRPr="00DF31BD">
              <w:rPr>
                <w:rFonts w:ascii="Palatino Linotype" w:hAnsi="Palatino Linotype" w:cs="Arial"/>
                <w:b/>
                <w:bCs/>
                <w:sz w:val="18"/>
                <w:szCs w:val="18"/>
              </w:rPr>
              <w:t>86,89,518</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center"/>
              <w:rPr>
                <w:rFonts w:ascii="Palatino Linotype" w:hAnsi="Palatino Linotype" w:cs="Arial"/>
                <w:b/>
                <w:bCs/>
                <w:sz w:val="18"/>
                <w:szCs w:val="18"/>
              </w:rPr>
            </w:pPr>
            <w:r>
              <w:rPr>
                <w:rFonts w:ascii="Palatino Linotype" w:hAnsi="Palatino Linotype" w:cs="Arial"/>
                <w:b/>
                <w:bCs/>
                <w:sz w:val="18"/>
                <w:szCs w:val="18"/>
              </w:rPr>
              <w:t xml:space="preserve">        7,59,530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tabs>
                <w:tab w:val="center" w:pos="551"/>
              </w:tabs>
              <w:jc w:val="right"/>
              <w:rPr>
                <w:rFonts w:ascii="Palatino Linotype" w:hAnsi="Palatino Linotype" w:cs="Arial"/>
                <w:b/>
                <w:bCs/>
                <w:sz w:val="18"/>
                <w:szCs w:val="18"/>
              </w:rPr>
            </w:pPr>
            <w:r>
              <w:rPr>
                <w:rFonts w:ascii="Palatino Linotype" w:hAnsi="Palatino Linotype" w:cs="Arial"/>
                <w:b/>
                <w:bCs/>
                <w:sz w:val="18"/>
                <w:szCs w:val="18"/>
              </w:rPr>
              <w:t xml:space="preserve"> 6,75,292</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-11.1</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83,97,775</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7,32,966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6,60,034</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-10.0</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 xml:space="preserve">  2,91,743 </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26,564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15,259</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-42.6</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
                <w:bCs/>
                <w:sz w:val="18"/>
                <w:szCs w:val="18"/>
              </w:rPr>
              <w:t>BSE, of which</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
                <w:bCs/>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right"/>
              <w:rPr>
                <w:rFonts w:ascii="Palatino Linotype" w:hAnsi="Palatino Linotype" w:cs="Arial"/>
                <w:bCs/>
                <w:sz w:val="18"/>
                <w:szCs w:val="18"/>
              </w:rPr>
            </w:pPr>
            <w:r>
              <w:rPr>
                <w:rFonts w:ascii="Palatino Linotype" w:hAnsi="Palatino Linotype" w:cs="Arial"/>
                <w:b/>
                <w:bCs/>
                <w:sz w:val="18"/>
                <w:szCs w:val="18"/>
              </w:rPr>
              <w:t xml:space="preserve">  54,131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66,922</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23.6</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right"/>
              <w:rPr>
                <w:rFonts w:ascii="Palatino Linotype" w:hAnsi="Palatino Linotype" w:cs="Arial"/>
                <w:bCs/>
                <w:sz w:val="18"/>
                <w:szCs w:val="18"/>
              </w:rPr>
            </w:pPr>
            <w:r>
              <w:rPr>
                <w:rFonts w:ascii="Palatino Linotype" w:hAnsi="Palatino Linotype" w:cs="Arial"/>
                <w:sz w:val="18"/>
                <w:szCs w:val="18"/>
              </w:rPr>
              <w:t>176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121</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-31.2</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right"/>
              <w:rPr>
                <w:rFonts w:ascii="Palatino Linotype" w:hAnsi="Palatino Linotype" w:cs="Arial"/>
                <w:bCs/>
                <w:sz w:val="18"/>
                <w:szCs w:val="18"/>
              </w:rPr>
            </w:pPr>
            <w:r>
              <w:rPr>
                <w:rFonts w:ascii="Palatino Linotype" w:hAnsi="Palatino Linotype" w:cs="Arial"/>
                <w:sz w:val="18"/>
                <w:szCs w:val="18"/>
              </w:rPr>
              <w:t>53,954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66,801</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23.8</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sidRPr="00DF31BD">
              <w:rPr>
                <w:rFonts w:ascii="Palatino Linotype" w:hAnsi="Palatino Linotype" w:cs="Arial"/>
                <w:b/>
                <w:bCs/>
                <w:sz w:val="18"/>
                <w:szCs w:val="18"/>
              </w:rPr>
              <w:t>4,42,009</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31,298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34,267</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9.5</w:t>
            </w:r>
          </w:p>
        </w:tc>
      </w:tr>
      <w:tr w:rsidR="00DD68D0" w:rsidRPr="00B92D2D" w:rsidTr="00932FDF">
        <w:trPr>
          <w:trHeight w:val="310"/>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 xml:space="preserve"> 4,41,967</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31,291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34,254</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9.5</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Cs/>
                <w:sz w:val="18"/>
                <w:szCs w:val="18"/>
              </w:rPr>
              <w:t xml:space="preserve">      </w:t>
            </w:r>
            <w:r>
              <w:rPr>
                <w:rFonts w:ascii="Palatino Linotype" w:hAnsi="Palatino Linotype" w:cs="Arial"/>
                <w:bCs/>
                <w:sz w:val="18"/>
                <w:szCs w:val="18"/>
              </w:rPr>
              <w:t xml:space="preserve">  </w:t>
            </w:r>
            <w:r w:rsidRPr="00DF31BD">
              <w:rPr>
                <w:rFonts w:ascii="Palatino Linotype" w:hAnsi="Palatino Linotype" w:cs="Arial"/>
                <w:bCs/>
                <w:sz w:val="18"/>
                <w:szCs w:val="18"/>
              </w:rPr>
              <w:t xml:space="preserve">   </w:t>
            </w:r>
            <w:r>
              <w:rPr>
                <w:rFonts w:ascii="Palatino Linotype" w:hAnsi="Palatino Linotype" w:cs="Arial"/>
                <w:bCs/>
                <w:sz w:val="18"/>
                <w:szCs w:val="18"/>
              </w:rPr>
              <w:t xml:space="preserve"> </w:t>
            </w:r>
            <w:r w:rsidRPr="00DF31BD">
              <w:rPr>
                <w:rFonts w:ascii="Palatino Linotype" w:hAnsi="Palatino Linotype" w:cs="Arial"/>
                <w:bCs/>
                <w:sz w:val="18"/>
                <w:szCs w:val="18"/>
              </w:rPr>
              <w:t xml:space="preserve">42.2 </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center"/>
              <w:rPr>
                <w:rFonts w:ascii="Palatino Linotype" w:hAnsi="Palatino Linotype" w:cs="Arial"/>
                <w:bCs/>
                <w:sz w:val="18"/>
                <w:szCs w:val="18"/>
              </w:rPr>
            </w:pPr>
            <w:r>
              <w:rPr>
                <w:rFonts w:ascii="Palatino Linotype" w:hAnsi="Palatino Linotype" w:cs="Arial"/>
                <w:bCs/>
                <w:sz w:val="18"/>
                <w:szCs w:val="18"/>
              </w:rPr>
              <w:t xml:space="preserve">                6.7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13.4</w:t>
            </w:r>
          </w:p>
        </w:tc>
        <w:tc>
          <w:tcPr>
            <w:tcW w:w="1830" w:type="dxa"/>
            <w:tcBorders>
              <w:top w:val="nil"/>
              <w:left w:val="nil"/>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Pr>
                <w:rFonts w:ascii="Palatino Linotype" w:hAnsi="Palatino Linotype" w:cs="Arial"/>
                <w:bCs/>
                <w:sz w:val="18"/>
                <w:szCs w:val="18"/>
              </w:rPr>
              <w:t>101.7</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
                <w:bCs/>
                <w:sz w:val="18"/>
                <w:szCs w:val="18"/>
              </w:rPr>
              <w:t>NSE, of which</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
                <w:bCs/>
                <w:sz w:val="18"/>
                <w:szCs w:val="18"/>
              </w:rPr>
              <w:t xml:space="preserve">       6,362 </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center"/>
              <w:rPr>
                <w:rFonts w:ascii="Palatino Linotype" w:hAnsi="Palatino Linotype" w:cs="Arial"/>
                <w:bCs/>
                <w:sz w:val="18"/>
                <w:szCs w:val="18"/>
              </w:rPr>
            </w:pPr>
            <w:r>
              <w:rPr>
                <w:rFonts w:ascii="Palatino Linotype" w:hAnsi="Palatino Linotype" w:cs="Arial"/>
                <w:b/>
                <w:bCs/>
                <w:sz w:val="18"/>
                <w:szCs w:val="18"/>
              </w:rPr>
              <w:t xml:space="preserve">           2,652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B46A54" w:rsidRDefault="00DD68D0" w:rsidP="00932FDF">
            <w:pPr>
              <w:tabs>
                <w:tab w:val="left" w:pos="252"/>
                <w:tab w:val="center" w:pos="551"/>
              </w:tabs>
              <w:jc w:val="right"/>
              <w:rPr>
                <w:rFonts w:ascii="Palatino Linotype" w:hAnsi="Palatino Linotype" w:cs="Arial"/>
                <w:b/>
                <w:sz w:val="18"/>
                <w:szCs w:val="18"/>
              </w:rPr>
            </w:pPr>
            <w:r w:rsidRPr="00B46A54">
              <w:rPr>
                <w:rFonts w:ascii="Palatino Linotype" w:hAnsi="Palatino Linotype" w:cs="Arial"/>
                <w:b/>
                <w:sz w:val="18"/>
                <w:szCs w:val="18"/>
              </w:rPr>
              <w:t>2,987</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12.6</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sz w:val="18"/>
                <w:szCs w:val="18"/>
              </w:rPr>
              <w:t xml:space="preserve">       6,362</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right"/>
              <w:rPr>
                <w:rFonts w:ascii="Palatino Linotype" w:hAnsi="Palatino Linotype" w:cs="Arial"/>
                <w:bCs/>
                <w:sz w:val="18"/>
                <w:szCs w:val="18"/>
              </w:rPr>
            </w:pPr>
            <w:r>
              <w:rPr>
                <w:rFonts w:ascii="Palatino Linotype" w:hAnsi="Palatino Linotype" w:cs="Arial"/>
                <w:sz w:val="18"/>
                <w:szCs w:val="18"/>
              </w:rPr>
              <w:t>19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Default="00DD68D0" w:rsidP="00932FDF">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1,449</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7,662</w:t>
            </w:r>
          </w:p>
        </w:tc>
      </w:tr>
      <w:tr w:rsidR="00DD68D0" w:rsidRPr="00B92D2D" w:rsidTr="00932FDF">
        <w:trPr>
          <w:trHeight w:val="308"/>
          <w:jc w:val="center"/>
        </w:trPr>
        <w:tc>
          <w:tcPr>
            <w:tcW w:w="3271" w:type="dxa"/>
            <w:tcBorders>
              <w:top w:val="nil"/>
              <w:left w:val="single" w:sz="4" w:space="0" w:color="auto"/>
              <w:bottom w:val="single" w:sz="4" w:space="0" w:color="auto"/>
              <w:right w:val="nil"/>
            </w:tcBorders>
            <w:shd w:val="clear" w:color="auto" w:fill="auto"/>
            <w:noWrap/>
          </w:tcPr>
          <w:p w:rsidR="00DD68D0" w:rsidRPr="00DF31BD" w:rsidRDefault="00DD68D0" w:rsidP="00932FDF">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Cs/>
                <w:sz w:val="18"/>
                <w:szCs w:val="18"/>
              </w:rPr>
            </w:pPr>
            <w:r w:rsidRPr="00DF31BD">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DD68D0" w:rsidRDefault="00DD68D0" w:rsidP="00932FDF">
            <w:pPr>
              <w:jc w:val="right"/>
              <w:rPr>
                <w:rFonts w:ascii="Palatino Linotype" w:hAnsi="Palatino Linotype" w:cs="Arial"/>
                <w:bCs/>
                <w:sz w:val="18"/>
                <w:szCs w:val="18"/>
              </w:rPr>
            </w:pPr>
            <w:r>
              <w:rPr>
                <w:rFonts w:ascii="Palatino Linotype" w:hAnsi="Palatino Linotype" w:cs="Arial"/>
                <w:sz w:val="18"/>
                <w:szCs w:val="18"/>
              </w:rPr>
              <w:t>2,633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Default="00DD68D0" w:rsidP="00932FDF">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1,538</w:t>
            </w:r>
          </w:p>
        </w:tc>
        <w:tc>
          <w:tcPr>
            <w:tcW w:w="1830" w:type="dxa"/>
            <w:tcBorders>
              <w:top w:val="nil"/>
              <w:left w:val="nil"/>
              <w:bottom w:val="single" w:sz="4" w:space="0" w:color="auto"/>
              <w:right w:val="single" w:sz="4" w:space="0" w:color="auto"/>
            </w:tcBorders>
            <w:shd w:val="clear" w:color="auto" w:fill="auto"/>
            <w:noWrap/>
          </w:tcPr>
          <w:p w:rsidR="00DD68D0" w:rsidRDefault="00DD68D0" w:rsidP="00932FDF">
            <w:pPr>
              <w:jc w:val="right"/>
              <w:rPr>
                <w:rFonts w:ascii="Palatino Linotype" w:hAnsi="Palatino Linotype" w:cs="Arial"/>
                <w:bCs/>
                <w:sz w:val="18"/>
                <w:szCs w:val="18"/>
              </w:rPr>
            </w:pPr>
            <w:r>
              <w:rPr>
                <w:rFonts w:ascii="Palatino Linotype" w:hAnsi="Palatino Linotype" w:cs="Arial"/>
                <w:bCs/>
                <w:sz w:val="18"/>
                <w:szCs w:val="18"/>
              </w:rPr>
              <w:t>-41.6</w:t>
            </w:r>
          </w:p>
        </w:tc>
      </w:tr>
      <w:tr w:rsidR="00DD68D0" w:rsidRPr="00B92D2D" w:rsidTr="00932FDF">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DD68D0" w:rsidRPr="00DF31BD" w:rsidRDefault="00DD68D0" w:rsidP="00932FDF">
            <w:pPr>
              <w:rPr>
                <w:rFonts w:ascii="Palatino Linotype" w:hAnsi="Palatino Linotype" w:cs="Arial"/>
                <w:b/>
                <w:bCs/>
                <w:sz w:val="18"/>
                <w:szCs w:val="18"/>
              </w:rPr>
            </w:pPr>
            <w:r w:rsidRPr="00DF31BD">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rsidR="00DD68D0" w:rsidRPr="00DF31BD" w:rsidRDefault="00DD68D0" w:rsidP="00932FDF">
            <w:pPr>
              <w:jc w:val="right"/>
              <w:rPr>
                <w:rFonts w:ascii="Palatino Linotype" w:hAnsi="Palatino Linotype" w:cs="Arial"/>
                <w:b/>
                <w:bCs/>
                <w:sz w:val="18"/>
                <w:szCs w:val="18"/>
              </w:rPr>
            </w:pPr>
            <w:r w:rsidRPr="00DF31BD">
              <w:rPr>
                <w:rFonts w:ascii="Palatino Linotype" w:hAnsi="Palatino Linotype" w:cs="Arial"/>
                <w:b/>
                <w:bCs/>
                <w:sz w:val="18"/>
                <w:szCs w:val="18"/>
              </w:rPr>
              <w:t xml:space="preserve">40,511 </w:t>
            </w:r>
          </w:p>
        </w:tc>
        <w:tc>
          <w:tcPr>
            <w:tcW w:w="1236" w:type="dxa"/>
            <w:tcBorders>
              <w:top w:val="single" w:sz="4" w:space="0" w:color="auto"/>
              <w:left w:val="single" w:sz="4" w:space="0" w:color="auto"/>
              <w:bottom w:val="single" w:sz="4" w:space="0" w:color="auto"/>
              <w:right w:val="single" w:sz="4" w:space="0" w:color="auto"/>
            </w:tcBorders>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0.03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DD68D0" w:rsidRPr="00DF31BD" w:rsidRDefault="00DD68D0" w:rsidP="00932FDF">
            <w:pPr>
              <w:jc w:val="right"/>
              <w:rPr>
                <w:rFonts w:ascii="Palatino Linotype" w:hAnsi="Palatino Linotype" w:cs="Arial"/>
                <w:b/>
                <w:bCs/>
                <w:sz w:val="18"/>
                <w:szCs w:val="18"/>
              </w:rPr>
            </w:pPr>
            <w:r>
              <w:rPr>
                <w:rFonts w:ascii="Palatino Linotype" w:hAnsi="Palatino Linotype" w:cs="Arial"/>
                <w:b/>
                <w:bCs/>
                <w:sz w:val="18"/>
                <w:szCs w:val="18"/>
              </w:rPr>
              <w:t>3</w:t>
            </w:r>
          </w:p>
        </w:tc>
        <w:tc>
          <w:tcPr>
            <w:tcW w:w="1830" w:type="dxa"/>
            <w:tcBorders>
              <w:top w:val="nil"/>
              <w:left w:val="nil"/>
              <w:bottom w:val="single" w:sz="4" w:space="0" w:color="auto"/>
              <w:right w:val="single" w:sz="4" w:space="0" w:color="auto"/>
            </w:tcBorders>
            <w:shd w:val="clear" w:color="auto" w:fill="auto"/>
            <w:noWrap/>
          </w:tcPr>
          <w:p w:rsidR="00DD68D0" w:rsidRPr="004E18AF" w:rsidRDefault="00DD68D0" w:rsidP="00932FDF">
            <w:pPr>
              <w:jc w:val="right"/>
              <w:rPr>
                <w:rFonts w:ascii="Palatino Linotype" w:hAnsi="Palatino Linotype" w:cs="Arial"/>
                <w:sz w:val="18"/>
                <w:szCs w:val="18"/>
              </w:rPr>
            </w:pPr>
            <w:r w:rsidRPr="004E18AF">
              <w:rPr>
                <w:rFonts w:ascii="Palatino Linotype" w:hAnsi="Palatino Linotype" w:cs="Arial"/>
                <w:sz w:val="18"/>
                <w:szCs w:val="18"/>
              </w:rPr>
              <w:t>9871.2</w:t>
            </w:r>
          </w:p>
        </w:tc>
      </w:tr>
    </w:tbl>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rPr>
          <w:highlight w:val="yellow"/>
        </w:rPr>
      </w:pPr>
    </w:p>
    <w:p w:rsidR="00DD68D0" w:rsidRPr="003105AF" w:rsidRDefault="00DD68D0" w:rsidP="00DD68D0">
      <w:pPr>
        <w:jc w:val="both"/>
        <w:rPr>
          <w:rFonts w:ascii="Palatino Linotype" w:hAnsi="Palatino Linotype" w:cs="Arial"/>
          <w:b/>
          <w:bCs/>
          <w:sz w:val="18"/>
          <w:szCs w:val="18"/>
          <w:highlight w:val="yellow"/>
        </w:rPr>
      </w:pPr>
      <w:r w:rsidRPr="003105AF">
        <w:rPr>
          <w:rFonts w:ascii="Palatino Linotype" w:hAnsi="Palatino Linotype" w:cs="Arial"/>
          <w:b/>
          <w:bCs/>
          <w:sz w:val="18"/>
          <w:szCs w:val="18"/>
          <w:highlight w:val="yellow"/>
        </w:rPr>
        <w:t xml:space="preserve"> </w:t>
      </w: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3105AF" w:rsidRDefault="00DD68D0" w:rsidP="00DD68D0">
      <w:pPr>
        <w:jc w:val="both"/>
        <w:rPr>
          <w:rFonts w:ascii="Palatino Linotype" w:hAnsi="Palatino Linotype" w:cs="Arial"/>
          <w:b/>
          <w:bCs/>
          <w:sz w:val="18"/>
          <w:szCs w:val="18"/>
          <w:highlight w:val="yellow"/>
        </w:rPr>
      </w:pPr>
    </w:p>
    <w:p w:rsidR="00DD68D0" w:rsidRPr="008E6E90" w:rsidRDefault="00DD68D0" w:rsidP="00DD68D0">
      <w:pPr>
        <w:ind w:firstLine="720"/>
        <w:jc w:val="both"/>
        <w:rPr>
          <w:rFonts w:ascii="Palatino Linotype" w:hAnsi="Palatino Linotype" w:cs="Arial"/>
          <w:b/>
          <w:bCs/>
          <w:sz w:val="18"/>
          <w:szCs w:val="18"/>
        </w:rPr>
      </w:pPr>
      <w:r w:rsidRPr="008E6E90">
        <w:rPr>
          <w:rFonts w:ascii="Palatino Linotype" w:hAnsi="Palatino Linotype" w:cs="Arial"/>
          <w:b/>
          <w:bCs/>
          <w:sz w:val="18"/>
          <w:szCs w:val="18"/>
        </w:rPr>
        <w:t>Source: MCX, BSE, NCDEX, NSE, ICEX.</w:t>
      </w:r>
    </w:p>
    <w:p w:rsidR="00DD68D0" w:rsidRPr="000E7AD0" w:rsidRDefault="00DD68D0" w:rsidP="00DD68D0">
      <w:pPr>
        <w:jc w:val="both"/>
        <w:rPr>
          <w:rFonts w:ascii="Palatino Linotype" w:hAnsi="Palatino Linotype" w:cs="Arial"/>
          <w:b/>
          <w:bCs/>
          <w:sz w:val="18"/>
          <w:szCs w:val="18"/>
        </w:rPr>
      </w:pPr>
    </w:p>
    <w:p w:rsidR="00DD68D0" w:rsidRPr="000E7AD0" w:rsidRDefault="00DD68D0" w:rsidP="00DD68D0">
      <w:pPr>
        <w:ind w:left="-284"/>
        <w:jc w:val="both"/>
        <w:rPr>
          <w:rFonts w:ascii="Palatino Linotype" w:hAnsi="Palatino Linotype" w:cs="Arial"/>
          <w:bCs/>
        </w:rPr>
      </w:pPr>
      <w:r w:rsidRPr="000E7AD0">
        <w:rPr>
          <w:rFonts w:ascii="Palatino Linotype" w:hAnsi="Palatino Linotype" w:cs="Arial"/>
          <w:b/>
          <w:bCs/>
        </w:rPr>
        <w:t>B.       Turnover</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0E7AD0">
        <w:rPr>
          <w:rFonts w:ascii="Palatino Linotype" w:eastAsia="Palatino Linotype" w:hAnsi="Palatino Linotype" w:cs="Palatino Linotype"/>
          <w:sz w:val="22"/>
          <w:szCs w:val="22"/>
        </w:rPr>
        <w:t xml:space="preserve">During December 2020, pan- India turnover of the commodity derivatives decreased by 8.0 per cent to </w:t>
      </w:r>
      <w:r w:rsidRPr="000E7AD0">
        <w:rPr>
          <w:rFonts w:ascii="Times New Roman" w:eastAsia="Palatino Linotype" w:hAnsi="Times New Roman"/>
          <w:sz w:val="22"/>
          <w:szCs w:val="22"/>
        </w:rPr>
        <w:t>₹</w:t>
      </w:r>
      <w:r w:rsidRPr="000E7AD0">
        <w:rPr>
          <w:rFonts w:ascii="Palatino Linotype" w:eastAsia="Palatino Linotype" w:hAnsi="Palatino Linotype" w:cs="Palatino Linotype"/>
          <w:sz w:val="22"/>
          <w:szCs w:val="22"/>
        </w:rPr>
        <w:t>7,79,</w:t>
      </w:r>
      <w:r w:rsidRPr="00AE0465">
        <w:rPr>
          <w:rFonts w:ascii="Palatino Linotype" w:eastAsia="Palatino Linotype" w:hAnsi="Palatino Linotype" w:cs="Palatino Linotype"/>
          <w:sz w:val="22"/>
          <w:szCs w:val="22"/>
        </w:rPr>
        <w:t xml:space="preserve">471 crore driven by decrease in turnover at MCX. However, turnover at NCDEX, ICEX, BSE and NSE have increased during the month.  The agricultural segment contributed 6.0 per cent to the total turnover, while non-agricultural segment accounted for 94.0 per cent. </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 xml:space="preserve">The total turnover at MCX decreased by 11.1 per cent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6,75,292 crore during December 2020 driven by decrease in traded value of bullion and energy futures. However, turnover in metal and agri. futures increased by 5.9 per cent and 6.0 per cent respectively. The turnover in iCOMDEX bullion and iCOMDEX metal index futures increased by 22.6 per cent and 27.3 per cent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 6,916 crore and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 1,294 crore respectively during the month.</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The notional turnover of options segment at MCX decreased by 42.6 per cent during the month driven by decrease in bullion segment by 48.6 per cent. The options contracts contributed 2.3 per cent to the total turnover at MCX.</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 xml:space="preserve">The total turnover at BSE increased by 23.6 per cent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 66,922 crore  driven by the increase in turnover in bullion options by 23.8 per cent. In the futures segment, bullion and agri. contracts recorded a total turnover of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11 crore and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 110 crore respectively.  </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During the month</w:t>
      </w:r>
      <w:r w:rsidR="00E66862">
        <w:rPr>
          <w:rFonts w:ascii="Palatino Linotype" w:eastAsia="Palatino Linotype" w:hAnsi="Palatino Linotype" w:cs="Palatino Linotype"/>
          <w:sz w:val="22"/>
          <w:szCs w:val="22"/>
        </w:rPr>
        <w:t xml:space="preserve"> of December 2020</w:t>
      </w:r>
      <w:r w:rsidRPr="00AE0465">
        <w:rPr>
          <w:rFonts w:ascii="Palatino Linotype" w:eastAsia="Palatino Linotype" w:hAnsi="Palatino Linotype" w:cs="Palatino Linotype"/>
          <w:sz w:val="22"/>
          <w:szCs w:val="22"/>
        </w:rPr>
        <w:t xml:space="preserve">, the total turnover at NCDEX increased by 9.5 per cent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34,267 crore, due to increase in traded volume and value of six out of total 16 traded commodities. Turnover in Agridex futures indices decreased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8 crore, a decline of 45.2 per cent during Dec. 2020.</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 xml:space="preserve">The total turnover at NSE increased by 12.6 per cent to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2,987 crore during the month</w:t>
      </w:r>
      <w:r w:rsidR="00E66862">
        <w:rPr>
          <w:rFonts w:ascii="Palatino Linotype" w:eastAsia="Palatino Linotype" w:hAnsi="Palatino Linotype" w:cs="Palatino Linotype"/>
          <w:sz w:val="22"/>
          <w:szCs w:val="22"/>
        </w:rPr>
        <w:t xml:space="preserve"> of December 2020</w:t>
      </w:r>
      <w:r w:rsidRPr="00AE0465">
        <w:rPr>
          <w:rFonts w:ascii="Palatino Linotype" w:eastAsia="Palatino Linotype" w:hAnsi="Palatino Linotype" w:cs="Palatino Linotype"/>
          <w:sz w:val="22"/>
          <w:szCs w:val="22"/>
        </w:rPr>
        <w:t xml:space="preserve"> on account of introduction of futures trading in agri. Segment (crude degummed soybean oil) which registered turnover of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1,434 crore in December 2020. Turnover in bullion options and futures segment however declined by 41.6 per cent and 18.9 per cent respectively. </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 xml:space="preserve">In December 2020, at ICEX, the futures contracts of agri. and metal segments recorded a total turnover of </w:t>
      </w:r>
      <w:r w:rsidRPr="00AE0465">
        <w:rPr>
          <w:rFonts w:ascii="Times New Roman" w:eastAsia="Palatino Linotype" w:hAnsi="Times New Roman"/>
          <w:sz w:val="22"/>
          <w:szCs w:val="22"/>
        </w:rPr>
        <w:t>₹</w:t>
      </w:r>
      <w:r w:rsidRPr="00AE0465">
        <w:rPr>
          <w:rFonts w:ascii="Palatino Linotype" w:eastAsia="Palatino Linotype" w:hAnsi="Palatino Linotype" w:cs="Palatino Linotype"/>
          <w:sz w:val="22"/>
          <w:szCs w:val="22"/>
        </w:rPr>
        <w:t xml:space="preserve">3 crore. Gems and stones futures remained untraded during the month. </w:t>
      </w:r>
    </w:p>
    <w:p w:rsidR="00DD68D0" w:rsidRPr="00AE0465" w:rsidRDefault="00DD68D0" w:rsidP="00DD68D0">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E0465">
        <w:rPr>
          <w:rFonts w:ascii="Palatino Linotype" w:eastAsia="Palatino Linotype" w:hAnsi="Palatino Linotype" w:cs="Palatino Linotype"/>
          <w:sz w:val="22"/>
          <w:szCs w:val="22"/>
        </w:rPr>
        <w:t>The turnover of agricultural and non-agricultural commodities at exchanges is shown in Figures 15, 16 and 17 and the details are given in Tables 65 to 69.</w:t>
      </w:r>
    </w:p>
    <w:p w:rsidR="00DD68D0" w:rsidRPr="003105AF" w:rsidRDefault="00DD68D0" w:rsidP="00DD68D0">
      <w:pPr>
        <w:jc w:val="both"/>
        <w:rPr>
          <w:rFonts w:ascii="Palatino Linotype" w:hAnsi="Palatino Linotype" w:cs="Arial"/>
          <w:bCs/>
          <w:highlight w:val="yellow"/>
        </w:rPr>
      </w:pPr>
    </w:p>
    <w:p w:rsidR="00DD68D0" w:rsidRPr="0081611F" w:rsidRDefault="00DD68D0" w:rsidP="00DD68D0">
      <w:pPr>
        <w:pStyle w:val="ListParagraph"/>
        <w:spacing w:after="0" w:line="240" w:lineRule="auto"/>
        <w:jc w:val="center"/>
        <w:rPr>
          <w:rFonts w:ascii="Palatino Linotype" w:hAnsi="Palatino Linotype" w:cs="Arial"/>
          <w:b/>
          <w:bCs/>
          <w:sz w:val="22"/>
          <w:szCs w:val="22"/>
        </w:rPr>
      </w:pPr>
      <w:r w:rsidRPr="0081611F">
        <w:rPr>
          <w:rFonts w:ascii="Palatino Linotype" w:hAnsi="Palatino Linotype" w:cs="Arial"/>
          <w:b/>
          <w:bCs/>
          <w:sz w:val="22"/>
          <w:szCs w:val="22"/>
        </w:rPr>
        <w:t xml:space="preserve">Figure 15: Trends in Turnover of Agricultural Commodity Derivatives </w:t>
      </w:r>
    </w:p>
    <w:p w:rsidR="00DD68D0" w:rsidRPr="003105AF" w:rsidRDefault="00DD68D0" w:rsidP="00DD68D0">
      <w:pPr>
        <w:pStyle w:val="ListParagraph"/>
        <w:spacing w:after="0" w:line="240" w:lineRule="auto"/>
        <w:ind w:left="0"/>
        <w:jc w:val="center"/>
        <w:rPr>
          <w:rFonts w:ascii="Palatino Linotype" w:hAnsi="Palatino Linotype" w:cs="Arial"/>
          <w:b/>
          <w:bCs/>
          <w:color w:val="2E74B5"/>
          <w:sz w:val="22"/>
          <w:szCs w:val="22"/>
          <w:highlight w:val="yellow"/>
        </w:rPr>
      </w:pPr>
      <w:r w:rsidRPr="0081611F">
        <w:rPr>
          <w:noProof/>
          <w:lang w:val="en-IN" w:eastAsia="en-IN" w:bidi="hi-IN"/>
        </w:rPr>
        <w:drawing>
          <wp:inline distT="0" distB="0" distL="0" distR="0">
            <wp:extent cx="5943600" cy="3111500"/>
            <wp:effectExtent l="0" t="0" r="0" b="1270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68D0" w:rsidRPr="0081611F" w:rsidRDefault="00DD68D0" w:rsidP="00DD68D0">
      <w:pPr>
        <w:rPr>
          <w:rFonts w:ascii="Palatino Linotype" w:hAnsi="Palatino Linotype"/>
          <w:b/>
          <w:color w:val="0D0D0D"/>
          <w:sz w:val="18"/>
          <w:szCs w:val="18"/>
        </w:rPr>
      </w:pPr>
      <w:r w:rsidRPr="0081611F">
        <w:rPr>
          <w:rFonts w:ascii="Palatino Linotype" w:hAnsi="Palatino Linotype"/>
          <w:b/>
          <w:color w:val="0D0D0D"/>
          <w:sz w:val="18"/>
          <w:szCs w:val="18"/>
        </w:rPr>
        <w:t>Source: MCX, NCDEX, BSE &amp; ICEX</w:t>
      </w:r>
    </w:p>
    <w:p w:rsidR="00DD68D0" w:rsidRPr="003105AF" w:rsidRDefault="00DD68D0" w:rsidP="00DD68D0">
      <w:pPr>
        <w:rPr>
          <w:rFonts w:ascii="Palatino Linotype" w:hAnsi="Palatino Linotype"/>
          <w:b/>
          <w:color w:val="365F91"/>
          <w:sz w:val="22"/>
          <w:szCs w:val="22"/>
          <w:highlight w:val="yellow"/>
        </w:rPr>
      </w:pPr>
    </w:p>
    <w:p w:rsidR="00DD68D0" w:rsidRPr="003105AF" w:rsidRDefault="00DD68D0" w:rsidP="00DD68D0">
      <w:pPr>
        <w:pStyle w:val="ListParagraph"/>
        <w:spacing w:after="0" w:line="240" w:lineRule="auto"/>
        <w:jc w:val="center"/>
        <w:rPr>
          <w:rFonts w:ascii="Palatino Linotype" w:hAnsi="Palatino Linotype" w:cs="Arial"/>
          <w:b/>
          <w:bCs/>
          <w:sz w:val="22"/>
          <w:szCs w:val="22"/>
          <w:highlight w:val="yellow"/>
        </w:rPr>
      </w:pPr>
      <w:r w:rsidRPr="003105AF">
        <w:rPr>
          <w:rFonts w:ascii="Palatino Linotype" w:hAnsi="Palatino Linotype" w:cs="Arial"/>
          <w:b/>
          <w:bCs/>
          <w:sz w:val="22"/>
          <w:szCs w:val="22"/>
          <w:highlight w:val="yellow"/>
        </w:rPr>
        <w:t xml:space="preserve">  </w:t>
      </w:r>
    </w:p>
    <w:p w:rsidR="00DD68D0" w:rsidRPr="003105AF" w:rsidRDefault="00DD68D0" w:rsidP="00DD68D0">
      <w:pPr>
        <w:pStyle w:val="ListParagraph"/>
        <w:spacing w:after="0" w:line="240" w:lineRule="auto"/>
        <w:jc w:val="center"/>
        <w:rPr>
          <w:rFonts w:ascii="Palatino Linotype" w:hAnsi="Palatino Linotype" w:cs="Arial"/>
          <w:b/>
          <w:bCs/>
          <w:sz w:val="22"/>
          <w:szCs w:val="22"/>
          <w:highlight w:val="yellow"/>
        </w:rPr>
      </w:pPr>
    </w:p>
    <w:p w:rsidR="00DD68D0" w:rsidRPr="00D90B32" w:rsidRDefault="00DD68D0" w:rsidP="00DD68D0">
      <w:pPr>
        <w:pStyle w:val="ListParagraph"/>
        <w:spacing w:after="0" w:line="240" w:lineRule="auto"/>
        <w:jc w:val="center"/>
        <w:rPr>
          <w:rFonts w:ascii="Palatino Linotype" w:hAnsi="Palatino Linotype" w:cs="Arial"/>
          <w:b/>
          <w:bCs/>
          <w:sz w:val="22"/>
          <w:szCs w:val="22"/>
        </w:rPr>
      </w:pPr>
    </w:p>
    <w:p w:rsidR="00DD68D0" w:rsidRPr="00D90B32" w:rsidRDefault="00DD68D0" w:rsidP="00DD68D0">
      <w:pPr>
        <w:pStyle w:val="ListParagraph"/>
        <w:spacing w:after="0" w:line="240" w:lineRule="auto"/>
        <w:jc w:val="center"/>
        <w:rPr>
          <w:rFonts w:ascii="Palatino Linotype" w:hAnsi="Palatino Linotype" w:cs="Arial"/>
          <w:b/>
          <w:bCs/>
          <w:sz w:val="22"/>
          <w:szCs w:val="22"/>
        </w:rPr>
      </w:pPr>
    </w:p>
    <w:p w:rsidR="00DD68D0" w:rsidRPr="00D90B32" w:rsidRDefault="00DD68D0" w:rsidP="00DD68D0">
      <w:pPr>
        <w:pStyle w:val="ListParagraph"/>
        <w:spacing w:after="0" w:line="240" w:lineRule="auto"/>
        <w:jc w:val="center"/>
        <w:rPr>
          <w:rFonts w:ascii="Palatino Linotype" w:hAnsi="Palatino Linotype" w:cs="Arial"/>
          <w:b/>
          <w:bCs/>
          <w:sz w:val="22"/>
          <w:szCs w:val="22"/>
        </w:rPr>
      </w:pPr>
      <w:r w:rsidRPr="00D90B32">
        <w:rPr>
          <w:rFonts w:ascii="Palatino Linotype" w:hAnsi="Palatino Linotype" w:cs="Arial"/>
          <w:b/>
          <w:bCs/>
          <w:sz w:val="22"/>
          <w:szCs w:val="22"/>
        </w:rPr>
        <w:t xml:space="preserve"> Figure 16: Trends in Turnover of Non-Agricultural Futures contracts </w:t>
      </w:r>
    </w:p>
    <w:p w:rsidR="00DD68D0" w:rsidRPr="00D90B32" w:rsidRDefault="00DD68D0" w:rsidP="00DD68D0">
      <w:pPr>
        <w:pStyle w:val="ListParagraph"/>
        <w:spacing w:after="0" w:line="240" w:lineRule="auto"/>
        <w:ind w:left="0"/>
        <w:jc w:val="center"/>
        <w:rPr>
          <w:rFonts w:ascii="Palatino Linotype" w:hAnsi="Palatino Linotype" w:cs="Arial"/>
          <w:b/>
          <w:bCs/>
          <w:sz w:val="22"/>
          <w:szCs w:val="22"/>
        </w:rPr>
      </w:pPr>
      <w:r w:rsidRPr="00D90B32">
        <w:rPr>
          <w:noProof/>
          <w:lang w:val="en-IN" w:eastAsia="en-IN" w:bidi="hi-IN"/>
        </w:rPr>
        <w:drawing>
          <wp:inline distT="0" distB="0" distL="0" distR="0">
            <wp:extent cx="5943600" cy="3627755"/>
            <wp:effectExtent l="0" t="0" r="0" b="1079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68D0" w:rsidRPr="00D90B32" w:rsidRDefault="00DD68D0" w:rsidP="00DD68D0">
      <w:pPr>
        <w:spacing w:line="259" w:lineRule="auto"/>
        <w:rPr>
          <w:rFonts w:ascii="Palatino Linotype" w:hAnsi="Palatino Linotype"/>
          <w:b/>
          <w:color w:val="0D0D0D"/>
          <w:sz w:val="18"/>
          <w:szCs w:val="18"/>
        </w:rPr>
      </w:pPr>
      <w:r w:rsidRPr="00D90B32">
        <w:rPr>
          <w:rFonts w:ascii="Palatino Linotype" w:hAnsi="Palatino Linotype"/>
          <w:b/>
          <w:color w:val="0D0D0D"/>
          <w:sz w:val="18"/>
          <w:szCs w:val="18"/>
        </w:rPr>
        <w:t xml:space="preserve">  Source: MCX, ICEX, BSE &amp; NSE. </w:t>
      </w:r>
    </w:p>
    <w:p w:rsidR="00DD68D0" w:rsidRPr="00D90B32" w:rsidRDefault="00DD68D0" w:rsidP="00DD68D0">
      <w:pPr>
        <w:spacing w:line="259" w:lineRule="auto"/>
        <w:rPr>
          <w:rFonts w:ascii="Palatino Linotype" w:hAnsi="Palatino Linotype" w:cs="Arial"/>
          <w:bCs/>
        </w:rPr>
      </w:pPr>
      <w:r w:rsidRPr="00D90B32">
        <w:rPr>
          <w:rFonts w:ascii="Palatino Linotype" w:hAnsi="Palatino Linotype" w:cs="Arial"/>
          <w:bCs/>
        </w:rPr>
        <w:t xml:space="preserve">                                                                  </w:t>
      </w:r>
    </w:p>
    <w:p w:rsidR="00DD68D0" w:rsidRPr="003105AF" w:rsidRDefault="00DD68D0" w:rsidP="00DD68D0">
      <w:pPr>
        <w:rPr>
          <w:rFonts w:ascii="Palatino Linotype" w:hAnsi="Palatino Linotype"/>
          <w:b/>
          <w:sz w:val="22"/>
          <w:szCs w:val="22"/>
          <w:highlight w:val="yellow"/>
          <w:lang w:val="en-US"/>
        </w:rPr>
      </w:pPr>
      <w:r w:rsidRPr="003105AF">
        <w:rPr>
          <w:rFonts w:ascii="Palatino Linotype" w:hAnsi="Palatino Linotype"/>
          <w:b/>
          <w:sz w:val="22"/>
          <w:szCs w:val="22"/>
          <w:highlight w:val="yellow"/>
        </w:rPr>
        <w:br w:type="page"/>
      </w:r>
    </w:p>
    <w:p w:rsidR="00DD68D0" w:rsidRPr="00DB2749" w:rsidRDefault="00DD68D0" w:rsidP="00DD68D0">
      <w:pPr>
        <w:pStyle w:val="ListParagraph"/>
        <w:spacing w:after="0" w:line="240" w:lineRule="auto"/>
        <w:jc w:val="center"/>
        <w:rPr>
          <w:rFonts w:ascii="Palatino Linotype" w:hAnsi="Palatino Linotype" w:cs="Arial"/>
          <w:b/>
          <w:bCs/>
          <w:sz w:val="22"/>
          <w:szCs w:val="22"/>
        </w:rPr>
      </w:pPr>
      <w:r w:rsidRPr="00DB2749">
        <w:rPr>
          <w:rFonts w:ascii="Palatino Linotype" w:hAnsi="Palatino Linotype" w:cs="Arial"/>
          <w:b/>
          <w:bCs/>
          <w:sz w:val="22"/>
          <w:szCs w:val="22"/>
        </w:rPr>
        <w:t xml:space="preserve">Figure 17: Trends in Turnover of Non-Agricultural Options contracts </w:t>
      </w:r>
    </w:p>
    <w:p w:rsidR="00DD68D0" w:rsidRPr="00D90B32" w:rsidRDefault="00DD68D0" w:rsidP="00DD68D0">
      <w:pPr>
        <w:pStyle w:val="ListParagraph"/>
        <w:spacing w:after="0" w:line="240" w:lineRule="auto"/>
        <w:ind w:left="0"/>
        <w:jc w:val="center"/>
        <w:rPr>
          <w:rFonts w:ascii="Palatino Linotype" w:hAnsi="Palatino Linotype" w:cs="Arial"/>
          <w:b/>
          <w:bCs/>
          <w:sz w:val="22"/>
          <w:szCs w:val="22"/>
        </w:rPr>
      </w:pPr>
      <w:r w:rsidRPr="00DB2749">
        <w:rPr>
          <w:noProof/>
          <w:lang w:val="en-IN" w:eastAsia="en-IN" w:bidi="hi-IN"/>
        </w:rPr>
        <w:drawing>
          <wp:inline distT="0" distB="0" distL="0" distR="0">
            <wp:extent cx="5943600" cy="4062730"/>
            <wp:effectExtent l="0" t="0" r="0" b="1397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68D0" w:rsidRPr="006C6C07" w:rsidRDefault="00DD68D0" w:rsidP="00DD68D0">
      <w:pPr>
        <w:spacing w:line="259" w:lineRule="auto"/>
        <w:rPr>
          <w:rFonts w:ascii="Palatino Linotype" w:hAnsi="Palatino Linotype" w:cs="Arial"/>
          <w:bCs/>
        </w:rPr>
      </w:pPr>
      <w:r w:rsidRPr="00D90B32">
        <w:rPr>
          <w:rFonts w:ascii="Palatino Linotype" w:hAnsi="Palatino Linotype"/>
          <w:b/>
          <w:color w:val="0D0D0D"/>
          <w:sz w:val="18"/>
          <w:szCs w:val="18"/>
        </w:rPr>
        <w:t>Source: MCX, BSE &amp; NSE.</w:t>
      </w:r>
    </w:p>
    <w:p w:rsidR="00396049" w:rsidRDefault="00396049" w:rsidP="00FD1851">
      <w:pPr>
        <w:rPr>
          <w:rFonts w:ascii="Garamond" w:eastAsia="Garamond" w:hAnsi="Garamond" w:cs="Garamond"/>
          <w:b/>
          <w:color w:val="0D0D0D"/>
          <w:sz w:val="18"/>
          <w:szCs w:val="18"/>
        </w:rPr>
      </w:pPr>
    </w:p>
    <w:p w:rsidR="00396049" w:rsidRDefault="00396049">
      <w:pPr>
        <w:rPr>
          <w:rFonts w:ascii="Garamond" w:hAnsi="Garamond"/>
          <w:b/>
          <w:color w:val="0D0D0D" w:themeColor="text1" w:themeTint="F2"/>
          <w:sz w:val="18"/>
          <w:szCs w:val="18"/>
        </w:rPr>
      </w:pPr>
      <w:r>
        <w:rPr>
          <w:rFonts w:ascii="Garamond" w:hAnsi="Garamond"/>
          <w:b/>
          <w:color w:val="0D0D0D" w:themeColor="text1" w:themeTint="F2"/>
          <w:sz w:val="18"/>
          <w:szCs w:val="18"/>
        </w:rPr>
        <w:br w:type="page"/>
      </w: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0B2BC5"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The world economic activity </w:t>
      </w:r>
      <w:r>
        <w:rPr>
          <w:rFonts w:ascii="Palatino Linotype" w:eastAsia="Times New Roman" w:hAnsi="Palatino Linotype"/>
          <w:sz w:val="22"/>
          <w:szCs w:val="22"/>
          <w:lang w:val="en-US"/>
        </w:rPr>
        <w:t>moderated in December 2020</w:t>
      </w:r>
      <w:r w:rsidRPr="00272724">
        <w:rPr>
          <w:rFonts w:ascii="Palatino Linotype" w:eastAsia="Times New Roman" w:hAnsi="Palatino Linotype"/>
          <w:sz w:val="22"/>
          <w:szCs w:val="22"/>
          <w:lang w:val="en-US"/>
        </w:rPr>
        <w:t>, after a good recovery in the past few months. The JPMorgan Global Composite Purchasing Managers’ Index (</w:t>
      </w:r>
      <w:r>
        <w:rPr>
          <w:rFonts w:ascii="Palatino Linotype" w:eastAsia="Times New Roman" w:hAnsi="Palatino Linotype"/>
          <w:sz w:val="22"/>
          <w:szCs w:val="22"/>
          <w:lang w:val="en-US"/>
        </w:rPr>
        <w:t>PMI), compiled by IHS Markit, de</w:t>
      </w:r>
      <w:r w:rsidRPr="00272724">
        <w:rPr>
          <w:rFonts w:ascii="Palatino Linotype" w:eastAsia="Times New Roman" w:hAnsi="Palatino Linotype"/>
          <w:sz w:val="22"/>
          <w:szCs w:val="22"/>
          <w:lang w:val="en-US"/>
        </w:rPr>
        <w:t>creased</w:t>
      </w:r>
      <w:r>
        <w:rPr>
          <w:rFonts w:ascii="Palatino Linotype" w:eastAsia="Times New Roman" w:hAnsi="Palatino Linotype"/>
          <w:sz w:val="22"/>
          <w:szCs w:val="22"/>
          <w:lang w:val="en-US"/>
        </w:rPr>
        <w:t xml:space="preserve"> for the second consecutive month</w:t>
      </w:r>
      <w:r w:rsidRPr="00272724">
        <w:rPr>
          <w:rFonts w:ascii="Palatino Linotype" w:eastAsia="Times New Roman" w:hAnsi="Palatino Linotype"/>
          <w:sz w:val="22"/>
          <w:szCs w:val="22"/>
          <w:lang w:val="en-US"/>
        </w:rPr>
        <w:t xml:space="preserve"> to</w:t>
      </w:r>
      <w:r>
        <w:rPr>
          <w:rFonts w:ascii="Palatino Linotype" w:eastAsia="Times New Roman" w:hAnsi="Palatino Linotype"/>
          <w:sz w:val="22"/>
          <w:szCs w:val="22"/>
          <w:lang w:val="en-US"/>
        </w:rPr>
        <w:t xml:space="preserve"> 52.70 in December 2020 from 53.1 in November 2020 and</w:t>
      </w:r>
      <w:r w:rsidRPr="00272724">
        <w:rPr>
          <w:rFonts w:ascii="Palatino Linotype" w:eastAsia="Times New Roman" w:hAnsi="Palatino Linotype"/>
          <w:sz w:val="22"/>
          <w:szCs w:val="22"/>
          <w:lang w:val="en-US"/>
        </w:rPr>
        <w:t xml:space="preserve"> 53.30 in October 2020. A reading of PMI above 50 means growth or expansion in economic activity. </w:t>
      </w:r>
    </w:p>
    <w:p w:rsidR="000B2BC5" w:rsidRDefault="000B2BC5" w:rsidP="000B2BC5">
      <w:pPr>
        <w:pStyle w:val="ListParagraph"/>
        <w:numPr>
          <w:ilvl w:val="0"/>
          <w:numId w:val="23"/>
        </w:numPr>
        <w:shd w:val="clear" w:color="auto" w:fill="FFFFFF"/>
        <w:spacing w:before="150" w:after="150" w:line="345" w:lineRule="atLeast"/>
        <w:ind w:right="107"/>
        <w:jc w:val="both"/>
        <w:rPr>
          <w:rFonts w:ascii="Palatino Linotype" w:eastAsia="Times New Roman" w:hAnsi="Palatino Linotype"/>
          <w:sz w:val="22"/>
          <w:szCs w:val="22"/>
        </w:rPr>
      </w:pPr>
      <w:r w:rsidRPr="000D71DB">
        <w:rPr>
          <w:rFonts w:ascii="Palatino Linotype" w:eastAsia="Times New Roman" w:hAnsi="Palatino Linotype"/>
          <w:sz w:val="22"/>
          <w:szCs w:val="22"/>
        </w:rPr>
        <w:t>Meanwhile the financial markets remained buoyed by t</w:t>
      </w:r>
      <w:r>
        <w:rPr>
          <w:rFonts w:ascii="Palatino Linotype" w:eastAsia="Times New Roman" w:hAnsi="Palatino Linotype"/>
          <w:sz w:val="22"/>
          <w:szCs w:val="22"/>
        </w:rPr>
        <w:t>he positive vaccine news. The vaccination drive in USA began on December 14</w:t>
      </w:r>
      <w:r w:rsidRPr="000D71DB">
        <w:rPr>
          <w:rFonts w:ascii="Palatino Linotype" w:eastAsia="Times New Roman" w:hAnsi="Palatino Linotype"/>
          <w:sz w:val="22"/>
          <w:szCs w:val="22"/>
          <w:vertAlign w:val="superscript"/>
        </w:rPr>
        <w:t>th</w:t>
      </w:r>
      <w:r>
        <w:rPr>
          <w:rFonts w:ascii="Palatino Linotype" w:eastAsia="Times New Roman" w:hAnsi="Palatino Linotype"/>
          <w:sz w:val="22"/>
          <w:szCs w:val="22"/>
          <w:vertAlign w:val="superscript"/>
        </w:rPr>
        <w:t xml:space="preserve">, </w:t>
      </w:r>
      <w:r>
        <w:rPr>
          <w:rFonts w:ascii="Palatino Linotype" w:eastAsia="Times New Roman" w:hAnsi="Palatino Linotype"/>
          <w:sz w:val="22"/>
          <w:szCs w:val="22"/>
        </w:rPr>
        <w:t xml:space="preserve">2020. </w:t>
      </w:r>
      <w:r w:rsidRPr="007850DC">
        <w:rPr>
          <w:rFonts w:ascii="Palatino Linotype" w:eastAsia="Times New Roman" w:hAnsi="Palatino Linotype"/>
          <w:sz w:val="22"/>
          <w:szCs w:val="22"/>
        </w:rPr>
        <w:t xml:space="preserve">The Dow Jones Industrial Average of USA increased by 3.3 per cent in December 2020 over previous month. The S&amp;P 500 index increased by 3.7 per cent, and the tech heavy NASDAQ Composite increased by 5.7 per cent in December </w:t>
      </w:r>
      <w:r>
        <w:rPr>
          <w:rFonts w:ascii="Palatino Linotype" w:eastAsia="Times New Roman" w:hAnsi="Palatino Linotype"/>
          <w:sz w:val="22"/>
          <w:szCs w:val="22"/>
        </w:rPr>
        <w:t xml:space="preserve">2020 over previous month. </w:t>
      </w:r>
      <w:r w:rsidRPr="000D71DB">
        <w:rPr>
          <w:rFonts w:ascii="Palatino Linotype" w:eastAsia="Times New Roman" w:hAnsi="Palatino Linotype"/>
          <w:sz w:val="22"/>
          <w:szCs w:val="22"/>
        </w:rPr>
        <w:t>Longer-term Treasury yields rose modestly, driven by increases in inflation compensation. The positive vaccine news also supported risk sentiment abroad, leading many global equity price indexes to advance and the U.S. dollar to depreciate further.</w:t>
      </w:r>
    </w:p>
    <w:p w:rsidR="000B2BC5" w:rsidRDefault="000B2BC5" w:rsidP="000B2BC5">
      <w:pPr>
        <w:pStyle w:val="ListParagraph"/>
        <w:shd w:val="clear" w:color="auto" w:fill="FFFFFF"/>
        <w:spacing w:before="150" w:after="150" w:line="345" w:lineRule="atLeast"/>
        <w:ind w:left="360" w:right="107"/>
        <w:jc w:val="both"/>
        <w:rPr>
          <w:rFonts w:ascii="Palatino Linotype" w:eastAsia="Times New Roman" w:hAnsi="Palatino Linotype"/>
          <w:sz w:val="22"/>
          <w:szCs w:val="22"/>
        </w:rPr>
      </w:pPr>
    </w:p>
    <w:p w:rsidR="000B2BC5" w:rsidRPr="00D474B9" w:rsidRDefault="000B2BC5" w:rsidP="000B2BC5">
      <w:pPr>
        <w:pStyle w:val="ListParagraph"/>
        <w:numPr>
          <w:ilvl w:val="0"/>
          <w:numId w:val="23"/>
        </w:numPr>
        <w:shd w:val="clear" w:color="auto" w:fill="FFFFFF"/>
        <w:spacing w:before="150" w:after="150" w:line="345" w:lineRule="atLeast"/>
        <w:ind w:right="107"/>
        <w:jc w:val="both"/>
        <w:rPr>
          <w:rFonts w:ascii="Palatino Linotype" w:eastAsia="Times New Roman" w:hAnsi="Palatino Linotype"/>
          <w:sz w:val="22"/>
          <w:szCs w:val="22"/>
        </w:rPr>
      </w:pPr>
      <w:r w:rsidRPr="000D71DB">
        <w:rPr>
          <w:rFonts w:ascii="Palatino Linotype" w:eastAsia="Times New Roman" w:hAnsi="Palatino Linotype"/>
          <w:sz w:val="22"/>
          <w:szCs w:val="22"/>
        </w:rPr>
        <w:t>In its latest January 2021</w:t>
      </w:r>
      <w:r>
        <w:rPr>
          <w:rFonts w:ascii="Palatino Linotype" w:eastAsia="Times New Roman" w:hAnsi="Palatino Linotype"/>
          <w:sz w:val="22"/>
          <w:szCs w:val="22"/>
        </w:rPr>
        <w:t>,</w:t>
      </w:r>
      <w:r w:rsidRPr="000D71DB">
        <w:rPr>
          <w:rFonts w:ascii="Palatino Linotype" w:eastAsia="Times New Roman" w:hAnsi="Palatino Linotype"/>
          <w:sz w:val="22"/>
          <w:szCs w:val="22"/>
        </w:rPr>
        <w:t xml:space="preserve"> Global Economic Prospects report, the </w:t>
      </w:r>
      <w:r>
        <w:rPr>
          <w:rFonts w:ascii="Palatino Linotype" w:eastAsia="Times New Roman" w:hAnsi="Palatino Linotype"/>
          <w:sz w:val="22"/>
          <w:szCs w:val="22"/>
        </w:rPr>
        <w:t>W</w:t>
      </w:r>
      <w:r w:rsidRPr="000D71DB">
        <w:rPr>
          <w:rFonts w:ascii="Palatino Linotype" w:eastAsia="Times New Roman" w:hAnsi="Palatino Linotype"/>
          <w:sz w:val="22"/>
          <w:szCs w:val="22"/>
        </w:rPr>
        <w:t xml:space="preserve">orld </w:t>
      </w:r>
      <w:r>
        <w:rPr>
          <w:rFonts w:ascii="Palatino Linotype" w:eastAsia="Times New Roman" w:hAnsi="Palatino Linotype"/>
          <w:sz w:val="22"/>
          <w:szCs w:val="22"/>
        </w:rPr>
        <w:t>B</w:t>
      </w:r>
      <w:r w:rsidRPr="000D71DB">
        <w:rPr>
          <w:rFonts w:ascii="Palatino Linotype" w:eastAsia="Times New Roman" w:hAnsi="Palatino Linotype"/>
          <w:sz w:val="22"/>
          <w:szCs w:val="22"/>
        </w:rPr>
        <w:t xml:space="preserve">ank </w:t>
      </w:r>
      <w:r>
        <w:rPr>
          <w:rFonts w:ascii="Palatino Linotype" w:eastAsia="Times New Roman" w:hAnsi="Palatino Linotype"/>
          <w:sz w:val="22"/>
          <w:szCs w:val="22"/>
        </w:rPr>
        <w:t>informed</w:t>
      </w:r>
      <w:r w:rsidRPr="000D71DB">
        <w:rPr>
          <w:rFonts w:ascii="Palatino Linotype" w:eastAsia="Times New Roman" w:hAnsi="Palatino Linotype"/>
          <w:sz w:val="22"/>
          <w:szCs w:val="22"/>
        </w:rPr>
        <w:t xml:space="preserve"> that the global economy </w:t>
      </w:r>
      <w:r>
        <w:rPr>
          <w:rFonts w:ascii="Palatino Linotype" w:eastAsia="Times New Roman" w:hAnsi="Palatino Linotype"/>
          <w:sz w:val="22"/>
          <w:szCs w:val="22"/>
        </w:rPr>
        <w:t xml:space="preserve">has </w:t>
      </w:r>
      <w:r w:rsidRPr="000D71DB">
        <w:rPr>
          <w:rFonts w:ascii="Palatino Linotype" w:eastAsia="Times New Roman" w:hAnsi="Palatino Linotype"/>
          <w:sz w:val="22"/>
          <w:szCs w:val="22"/>
        </w:rPr>
        <w:t>contracted by 4.3</w:t>
      </w:r>
      <w:r>
        <w:rPr>
          <w:rFonts w:ascii="Palatino Linotype" w:eastAsia="Times New Roman" w:hAnsi="Palatino Linotype"/>
          <w:sz w:val="22"/>
          <w:szCs w:val="22"/>
        </w:rPr>
        <w:t xml:space="preserve"> per cent </w:t>
      </w:r>
      <w:r w:rsidRPr="000D71DB">
        <w:rPr>
          <w:rFonts w:ascii="Palatino Linotype" w:eastAsia="Times New Roman" w:hAnsi="Palatino Linotype"/>
          <w:sz w:val="22"/>
          <w:szCs w:val="22"/>
        </w:rPr>
        <w:t xml:space="preserve">in 2020, representing the fourth most severe global recession in the past 150 years. </w:t>
      </w:r>
      <w:r>
        <w:rPr>
          <w:rFonts w:ascii="Palatino Linotype" w:eastAsia="Times New Roman" w:hAnsi="Palatino Linotype"/>
          <w:sz w:val="22"/>
          <w:szCs w:val="22"/>
        </w:rPr>
        <w:t>As per the report,</w:t>
      </w:r>
      <w:r w:rsidRPr="000D71DB">
        <w:rPr>
          <w:rFonts w:ascii="Palatino Linotype" w:eastAsia="Times New Roman" w:hAnsi="Palatino Linotype"/>
          <w:sz w:val="22"/>
          <w:szCs w:val="22"/>
        </w:rPr>
        <w:t xml:space="preserve"> although the global economy is exp</w:t>
      </w:r>
      <w:r>
        <w:rPr>
          <w:rFonts w:ascii="Palatino Linotype" w:eastAsia="Times New Roman" w:hAnsi="Palatino Linotype"/>
          <w:sz w:val="22"/>
          <w:szCs w:val="22"/>
        </w:rPr>
        <w:t xml:space="preserve">ected to recover from the COVID-19 </w:t>
      </w:r>
      <w:r w:rsidRPr="000D71DB">
        <w:rPr>
          <w:rFonts w:ascii="Palatino Linotype" w:eastAsia="Times New Roman" w:hAnsi="Palatino Linotype"/>
          <w:sz w:val="22"/>
          <w:szCs w:val="22"/>
        </w:rPr>
        <w:t xml:space="preserve">induced recession, progress will be slow and subdued. </w:t>
      </w:r>
      <w:r>
        <w:rPr>
          <w:rFonts w:ascii="Palatino Linotype" w:eastAsia="Times New Roman" w:hAnsi="Palatino Linotype"/>
          <w:sz w:val="22"/>
          <w:szCs w:val="22"/>
        </w:rPr>
        <w:t>While g</w:t>
      </w:r>
      <w:r w:rsidRPr="000D71DB">
        <w:rPr>
          <w:rFonts w:ascii="Palatino Linotype" w:eastAsia="Times New Roman" w:hAnsi="Palatino Linotype"/>
          <w:sz w:val="22"/>
          <w:szCs w:val="22"/>
        </w:rPr>
        <w:t>lobal growth is projected at 4</w:t>
      </w:r>
      <w:r>
        <w:rPr>
          <w:rFonts w:ascii="Palatino Linotype" w:eastAsia="Times New Roman" w:hAnsi="Palatino Linotype"/>
          <w:sz w:val="22"/>
          <w:szCs w:val="22"/>
        </w:rPr>
        <w:t xml:space="preserve">.0 per cent </w:t>
      </w:r>
      <w:r w:rsidRPr="000D71DB">
        <w:rPr>
          <w:rFonts w:ascii="Palatino Linotype" w:eastAsia="Times New Roman" w:hAnsi="Palatino Linotype"/>
          <w:sz w:val="22"/>
          <w:szCs w:val="22"/>
        </w:rPr>
        <w:t xml:space="preserve">in 2021, but another spike in </w:t>
      </w:r>
      <w:r>
        <w:rPr>
          <w:rFonts w:ascii="Palatino Linotype" w:eastAsia="Times New Roman" w:hAnsi="Palatino Linotype"/>
          <w:sz w:val="22"/>
          <w:szCs w:val="22"/>
        </w:rPr>
        <w:t xml:space="preserve">COVID-19 </w:t>
      </w:r>
      <w:r w:rsidRPr="000D71DB">
        <w:rPr>
          <w:rFonts w:ascii="Palatino Linotype" w:eastAsia="Times New Roman" w:hAnsi="Palatino Linotype"/>
          <w:sz w:val="22"/>
          <w:szCs w:val="22"/>
        </w:rPr>
        <w:t>cases could reduce it to 1.6</w:t>
      </w:r>
      <w:r>
        <w:rPr>
          <w:rFonts w:ascii="Palatino Linotype" w:eastAsia="Times New Roman" w:hAnsi="Palatino Linotype"/>
          <w:sz w:val="22"/>
          <w:szCs w:val="22"/>
        </w:rPr>
        <w:t xml:space="preserve"> per cent</w:t>
      </w:r>
      <w:r w:rsidRPr="000D71DB">
        <w:rPr>
          <w:rFonts w:ascii="Palatino Linotype" w:eastAsia="Times New Roman" w:hAnsi="Palatino Linotype"/>
          <w:sz w:val="22"/>
          <w:szCs w:val="22"/>
        </w:rPr>
        <w:t xml:space="preserve">. The report flags that the </w:t>
      </w:r>
      <w:r>
        <w:rPr>
          <w:rFonts w:ascii="Palatino Linotype" w:eastAsia="Times New Roman" w:hAnsi="Palatino Linotype"/>
          <w:sz w:val="22"/>
          <w:szCs w:val="22"/>
        </w:rPr>
        <w:t xml:space="preserve">expected </w:t>
      </w:r>
      <w:r w:rsidRPr="000D71DB">
        <w:rPr>
          <w:rFonts w:ascii="Palatino Linotype" w:eastAsia="Times New Roman" w:hAnsi="Palatino Linotype"/>
          <w:sz w:val="22"/>
          <w:szCs w:val="22"/>
        </w:rPr>
        <w:t>slower pace of vaccinations in developing countries relative to advanced economies represents a substantial headwind to activity.</w:t>
      </w:r>
    </w:p>
    <w:p w:rsidR="000B2BC5" w:rsidRPr="007850DC"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trike/>
          <w:sz w:val="22"/>
          <w:szCs w:val="22"/>
          <w:lang w:val="en-US"/>
        </w:rPr>
      </w:pPr>
      <w:r w:rsidRPr="007850DC">
        <w:rPr>
          <w:rFonts w:ascii="Palatino Linotype" w:eastAsia="Times New Roman" w:hAnsi="Palatino Linotype"/>
          <w:sz w:val="22"/>
          <w:szCs w:val="22"/>
          <w:lang w:val="en-US"/>
        </w:rPr>
        <w:t xml:space="preserve">The emerging equity markets outperformed advanced markets in December 2020. MSCI Emerging Market (EM) index increased by 7.2 per cent in December 2020 over the previous month, while MSCI World index was up by 4.1 per cent during same period. </w:t>
      </w:r>
    </w:p>
    <w:p w:rsidR="000B2BC5" w:rsidRPr="007850DC"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7850DC"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7850DC">
        <w:rPr>
          <w:rFonts w:ascii="Palatino Linotype" w:eastAsia="Times New Roman" w:hAnsi="Palatino Linotype"/>
          <w:sz w:val="22"/>
          <w:szCs w:val="22"/>
          <w:lang w:val="en-US"/>
        </w:rPr>
        <w:t>The volatility in the equity markets remained moderate during December 2020. The CBOE VIX index rose to 22.8 as on December 31, 2020 from 20.6 as on November 30, 2020.</w:t>
      </w:r>
    </w:p>
    <w:p w:rsidR="000B2BC5" w:rsidRPr="007850DC"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7850DC"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7850DC">
        <w:rPr>
          <w:rFonts w:ascii="Palatino Linotype" w:eastAsia="Times New Roman" w:hAnsi="Palatino Linotype"/>
          <w:sz w:val="22"/>
          <w:szCs w:val="22"/>
          <w:lang w:val="en-US"/>
        </w:rPr>
        <w:t>The bond markets remained mostly flat during December 2020. While the US 10-year government bond yield increased by 7 bps to 0.91 per cent during December 2020, the 10-year Eurozone Central Government Bond yield remained unchanged at -0.19 per cent. The 10-year government bond yield of India declined by 5 bps to 5.87 per cent as on December 31, 2020, compared to end of the previous month.</w:t>
      </w:r>
    </w:p>
    <w:p w:rsidR="000B2BC5" w:rsidRPr="007850DC"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7850DC"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7850DC">
        <w:rPr>
          <w:rFonts w:ascii="Palatino Linotype" w:eastAsia="Times New Roman" w:hAnsi="Palatino Linotype"/>
          <w:sz w:val="22"/>
          <w:szCs w:val="22"/>
          <w:lang w:val="en-US"/>
        </w:rPr>
        <w:t>The crude oil prices increased by USD 3.1 per barrel (or by 7.0 per cent) to USD 48.4 per barrel in December 2020. Gold prices too, increased sharply by USD 117.4 per ounce (or by 6.8 per cent) during December to USD 1,894.4 on December 31, 2020 from USD 1,777.0 on November 30, 2020. </w:t>
      </w:r>
    </w:p>
    <w:p w:rsidR="000B2BC5" w:rsidRPr="00272724"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272724"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As per the third revised estimate, the US economy expanded by 7.5 </w:t>
      </w:r>
      <w:r w:rsidRPr="00272724">
        <w:rPr>
          <w:rFonts w:ascii="Palatino Linotype" w:eastAsia="Times New Roman" w:hAnsi="Palatino Linotype"/>
          <w:sz w:val="22"/>
          <w:szCs w:val="22"/>
          <w:lang w:val="en-US"/>
        </w:rPr>
        <w:t>per cent Q-o-Q (33.</w:t>
      </w:r>
      <w:r>
        <w:rPr>
          <w:rFonts w:ascii="Palatino Linotype" w:eastAsia="Times New Roman" w:hAnsi="Palatino Linotype"/>
          <w:sz w:val="22"/>
          <w:szCs w:val="22"/>
          <w:lang w:val="en-US"/>
        </w:rPr>
        <w:t>4</w:t>
      </w:r>
      <w:r w:rsidRPr="00272724">
        <w:rPr>
          <w:rFonts w:ascii="Palatino Linotype" w:eastAsia="Times New Roman" w:hAnsi="Palatino Linotype"/>
          <w:sz w:val="22"/>
          <w:szCs w:val="22"/>
          <w:lang w:val="en-US"/>
        </w:rPr>
        <w:t xml:space="preserve"> per cent Q-o-Q in annualised terms) in the Q3 of 2020, compared to contraction of 9.0 per cent Q-o-Q in the Q2 of 2020 (or 31.4 per cent contraction Q-o-Q in annualised terms). It is the biggest</w:t>
      </w:r>
      <w:r>
        <w:rPr>
          <w:rFonts w:ascii="Palatino Linotype" w:eastAsia="Times New Roman" w:hAnsi="Palatino Linotype"/>
          <w:sz w:val="22"/>
          <w:szCs w:val="22"/>
          <w:lang w:val="en-US"/>
        </w:rPr>
        <w:t xml:space="preserve"> sequential</w:t>
      </w:r>
      <w:r w:rsidRPr="00272724">
        <w:rPr>
          <w:rFonts w:ascii="Palatino Linotype" w:eastAsia="Times New Roman" w:hAnsi="Palatino Linotype"/>
          <w:sz w:val="22"/>
          <w:szCs w:val="22"/>
          <w:lang w:val="en-US"/>
        </w:rPr>
        <w:t xml:space="preserve"> expansion ever, following a steep fall in Q2 of 2020, as the economy rebounds from coronavirus pandemic. The US unemployment rate </w:t>
      </w:r>
      <w:r>
        <w:rPr>
          <w:rFonts w:ascii="Palatino Linotype" w:eastAsia="Times New Roman" w:hAnsi="Palatino Linotype"/>
          <w:sz w:val="22"/>
          <w:szCs w:val="22"/>
          <w:lang w:val="en-US"/>
        </w:rPr>
        <w:t>remained unchanged</w:t>
      </w:r>
      <w:r w:rsidRPr="00272724">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at</w:t>
      </w:r>
      <w:r w:rsidRPr="00272724">
        <w:rPr>
          <w:rFonts w:ascii="Palatino Linotype" w:eastAsia="Times New Roman" w:hAnsi="Palatino Linotype"/>
          <w:sz w:val="22"/>
          <w:szCs w:val="22"/>
          <w:lang w:val="en-US"/>
        </w:rPr>
        <w:t xml:space="preserve"> 6.</w:t>
      </w:r>
      <w:r>
        <w:rPr>
          <w:rFonts w:ascii="Palatino Linotype" w:eastAsia="Times New Roman" w:hAnsi="Palatino Linotype"/>
          <w:sz w:val="22"/>
          <w:szCs w:val="22"/>
          <w:lang w:val="en-US"/>
        </w:rPr>
        <w:t>7</w:t>
      </w:r>
      <w:r w:rsidRPr="0027272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 xml:space="preserve">December </w:t>
      </w:r>
      <w:r w:rsidRPr="00272724">
        <w:rPr>
          <w:rFonts w:ascii="Palatino Linotype" w:eastAsia="Times New Roman" w:hAnsi="Palatino Linotype"/>
          <w:sz w:val="22"/>
          <w:szCs w:val="22"/>
          <w:lang w:val="en-US"/>
        </w:rPr>
        <w:t xml:space="preserve">2020, from </w:t>
      </w:r>
      <w:r>
        <w:rPr>
          <w:rFonts w:ascii="Palatino Linotype" w:eastAsia="Times New Roman" w:hAnsi="Palatino Linotype"/>
          <w:sz w:val="22"/>
          <w:szCs w:val="22"/>
          <w:lang w:val="en-US"/>
        </w:rPr>
        <w:t>6</w:t>
      </w:r>
      <w:r w:rsidRPr="00272724">
        <w:rPr>
          <w:rFonts w:ascii="Palatino Linotype" w:eastAsia="Times New Roman" w:hAnsi="Palatino Linotype"/>
          <w:sz w:val="22"/>
          <w:szCs w:val="22"/>
          <w:lang w:val="en-US"/>
        </w:rPr>
        <w:t xml:space="preserve">.9 per cent in </w:t>
      </w:r>
      <w:r>
        <w:rPr>
          <w:rFonts w:ascii="Palatino Linotype" w:eastAsia="Times New Roman" w:hAnsi="Palatino Linotype"/>
          <w:sz w:val="22"/>
          <w:szCs w:val="22"/>
          <w:lang w:val="en-US"/>
        </w:rPr>
        <w:t>the previous month</w:t>
      </w:r>
      <w:r w:rsidRPr="00272724">
        <w:rPr>
          <w:rFonts w:ascii="Palatino Linotype" w:eastAsia="Times New Roman" w:hAnsi="Palatino Linotype"/>
          <w:sz w:val="22"/>
          <w:szCs w:val="22"/>
          <w:lang w:val="en-US"/>
        </w:rPr>
        <w:t xml:space="preserve">. The US PMI data also indicate rising economic activity. The IHS Market’s US Composite PMI rose </w:t>
      </w:r>
      <w:r>
        <w:rPr>
          <w:rFonts w:ascii="Palatino Linotype" w:eastAsia="Times New Roman" w:hAnsi="Palatino Linotype"/>
          <w:sz w:val="22"/>
          <w:szCs w:val="22"/>
          <w:lang w:val="en-US"/>
        </w:rPr>
        <w:t>to 58.6 in November 2020 from 56.3 in October 2020.</w:t>
      </w:r>
    </w:p>
    <w:p w:rsidR="000B2BC5" w:rsidRPr="00272724" w:rsidRDefault="000B2BC5" w:rsidP="000B2BC5">
      <w:pPr>
        <w:spacing w:after="200" w:line="276" w:lineRule="auto"/>
        <w:ind w:left="720" w:right="107"/>
        <w:contextualSpacing/>
        <w:rPr>
          <w:rFonts w:ascii="Palatino Linotype" w:eastAsia="Times New Roman" w:hAnsi="Palatino Linotype"/>
          <w:sz w:val="22"/>
          <w:szCs w:val="22"/>
          <w:lang w:val="en-US"/>
        </w:rPr>
      </w:pPr>
    </w:p>
    <w:p w:rsidR="000B2BC5" w:rsidRPr="00F65BD4"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F65BD4">
        <w:rPr>
          <w:rFonts w:ascii="Palatino Linotype" w:eastAsia="Times New Roman" w:hAnsi="Palatino Linotype"/>
          <w:sz w:val="22"/>
          <w:szCs w:val="22"/>
          <w:lang w:val="en-US"/>
        </w:rPr>
        <w:t>The UK economy grew by 15.5 per cent Q-o-Q in Q3 of 2020, the largest-ever sequential expansion in GDP since 1955, as the economy recovers from COVID-19 induced lockdown. In the previous quarter</w:t>
      </w:r>
      <w:r>
        <w:rPr>
          <w:rFonts w:ascii="Palatino Linotype" w:eastAsia="Times New Roman" w:hAnsi="Palatino Linotype"/>
          <w:sz w:val="22"/>
          <w:szCs w:val="22"/>
          <w:lang w:val="en-US"/>
        </w:rPr>
        <w:t>,</w:t>
      </w:r>
      <w:r w:rsidRPr="00F65BD4">
        <w:rPr>
          <w:rFonts w:ascii="Palatino Linotype" w:eastAsia="Times New Roman" w:hAnsi="Palatino Linotype"/>
          <w:sz w:val="22"/>
          <w:szCs w:val="22"/>
          <w:lang w:val="en-US"/>
        </w:rPr>
        <w:t xml:space="preserve"> GDP had contracted by the record 19.8 per cent Q-o-Q. The economic activity remained on the recovery path as IHS Markit UK composite PMI rose to </w:t>
      </w:r>
      <w:r>
        <w:rPr>
          <w:rFonts w:ascii="Palatino Linotype" w:eastAsia="Times New Roman" w:hAnsi="Palatino Linotype"/>
          <w:sz w:val="22"/>
          <w:szCs w:val="22"/>
          <w:lang w:val="en-US"/>
        </w:rPr>
        <w:t>50.7</w:t>
      </w:r>
      <w:r w:rsidRPr="00F65BD4">
        <w:rPr>
          <w:rFonts w:ascii="Palatino Linotype" w:eastAsia="Times New Roman" w:hAnsi="Palatino Linotype"/>
          <w:sz w:val="22"/>
          <w:szCs w:val="22"/>
          <w:lang w:val="en-US"/>
        </w:rPr>
        <w:t xml:space="preserve"> in </w:t>
      </w:r>
      <w:r>
        <w:rPr>
          <w:rFonts w:ascii="Palatino Linotype" w:eastAsia="Times New Roman" w:hAnsi="Palatino Linotype"/>
          <w:sz w:val="22"/>
          <w:szCs w:val="22"/>
          <w:lang w:val="en-US"/>
        </w:rPr>
        <w:t>Dec</w:t>
      </w:r>
      <w:r w:rsidRPr="00F65BD4">
        <w:rPr>
          <w:rFonts w:ascii="Palatino Linotype" w:eastAsia="Times New Roman" w:hAnsi="Palatino Linotype"/>
          <w:sz w:val="22"/>
          <w:szCs w:val="22"/>
          <w:lang w:val="en-US"/>
        </w:rPr>
        <w:t>ember 2020 from 5</w:t>
      </w:r>
      <w:r>
        <w:rPr>
          <w:rFonts w:ascii="Palatino Linotype" w:eastAsia="Times New Roman" w:hAnsi="Palatino Linotype"/>
          <w:sz w:val="22"/>
          <w:szCs w:val="22"/>
          <w:lang w:val="en-US"/>
        </w:rPr>
        <w:t>0.7</w:t>
      </w:r>
      <w:r w:rsidRPr="00F65BD4">
        <w:rPr>
          <w:rFonts w:ascii="Palatino Linotype" w:eastAsia="Times New Roman" w:hAnsi="Palatino Linotype"/>
          <w:sz w:val="22"/>
          <w:szCs w:val="22"/>
          <w:lang w:val="en-US"/>
        </w:rPr>
        <w:t xml:space="preserve"> in previous month. </w:t>
      </w:r>
    </w:p>
    <w:p w:rsidR="000B2BC5"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532221"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According to the data published by Eurostat, t</w:t>
      </w:r>
      <w:r w:rsidRPr="00272724">
        <w:rPr>
          <w:rFonts w:ascii="Palatino Linotype" w:eastAsia="Times New Roman" w:hAnsi="Palatino Linotype"/>
          <w:sz w:val="22"/>
          <w:szCs w:val="22"/>
          <w:lang w:val="en-US"/>
        </w:rPr>
        <w:t>he Eurozone economy expanded by 12.</w:t>
      </w:r>
      <w:r>
        <w:rPr>
          <w:rFonts w:ascii="Palatino Linotype" w:eastAsia="Times New Roman" w:hAnsi="Palatino Linotype"/>
          <w:sz w:val="22"/>
          <w:szCs w:val="22"/>
          <w:lang w:val="en-US"/>
        </w:rPr>
        <w:t>5</w:t>
      </w:r>
      <w:r w:rsidRPr="00272724">
        <w:rPr>
          <w:rFonts w:ascii="Palatino Linotype" w:eastAsia="Times New Roman" w:hAnsi="Palatino Linotype"/>
          <w:sz w:val="22"/>
          <w:szCs w:val="22"/>
          <w:lang w:val="en-US"/>
        </w:rPr>
        <w:t xml:space="preserve"> per cent Q-o-Q in Q3 of 2</w:t>
      </w:r>
      <w:r>
        <w:rPr>
          <w:rFonts w:ascii="Palatino Linotype" w:eastAsia="Times New Roman" w:hAnsi="Palatino Linotype"/>
          <w:sz w:val="22"/>
          <w:szCs w:val="22"/>
          <w:lang w:val="en-US"/>
        </w:rPr>
        <w:t>020, after a contraction of 11.7</w:t>
      </w:r>
      <w:r w:rsidRPr="00272724">
        <w:rPr>
          <w:rFonts w:ascii="Palatino Linotype" w:eastAsia="Times New Roman" w:hAnsi="Palatino Linotype"/>
          <w:sz w:val="22"/>
          <w:szCs w:val="22"/>
          <w:lang w:val="en-US"/>
        </w:rPr>
        <w:t xml:space="preserve"> per cent in Q2 of 2020. </w:t>
      </w:r>
      <w:r w:rsidRPr="00532221">
        <w:rPr>
          <w:rFonts w:ascii="Palatino Linotype" w:eastAsia="Times New Roman" w:hAnsi="Palatino Linotype"/>
          <w:sz w:val="22"/>
          <w:szCs w:val="22"/>
          <w:lang w:val="en-US"/>
        </w:rPr>
        <w:t>All major economies in the Eurozone posted record increases in GDP</w:t>
      </w:r>
      <w:r>
        <w:rPr>
          <w:rFonts w:ascii="Palatino Linotype" w:eastAsia="Times New Roman" w:hAnsi="Palatino Linotype"/>
          <w:sz w:val="22"/>
          <w:szCs w:val="22"/>
          <w:lang w:val="en-US"/>
        </w:rPr>
        <w:t xml:space="preserve"> in Q3</w:t>
      </w:r>
      <w:r w:rsidRPr="00532221">
        <w:rPr>
          <w:rFonts w:ascii="Palatino Linotype" w:eastAsia="Times New Roman" w:hAnsi="Palatino Linotype"/>
          <w:sz w:val="22"/>
          <w:szCs w:val="22"/>
          <w:lang w:val="en-US"/>
        </w:rPr>
        <w:t>. France (+18.7</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Spain (+16.7</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and Italy (+15.9</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xml:space="preserve">) recorded the sharpest increases of GDP compared to the previous quarter. These countries were also among the </w:t>
      </w:r>
      <w:r>
        <w:rPr>
          <w:rFonts w:ascii="Palatino Linotype" w:eastAsia="Times New Roman" w:hAnsi="Palatino Linotype"/>
          <w:sz w:val="22"/>
          <w:szCs w:val="22"/>
          <w:lang w:val="en-US"/>
        </w:rPr>
        <w:t xml:space="preserve">countries recording </w:t>
      </w:r>
      <w:r w:rsidRPr="00532221">
        <w:rPr>
          <w:rFonts w:ascii="Palatino Linotype" w:eastAsia="Times New Roman" w:hAnsi="Palatino Linotype"/>
          <w:sz w:val="22"/>
          <w:szCs w:val="22"/>
          <w:lang w:val="en-US"/>
        </w:rPr>
        <w:t>highest decreases</w:t>
      </w:r>
      <w:r>
        <w:rPr>
          <w:rFonts w:ascii="Palatino Linotype" w:eastAsia="Times New Roman" w:hAnsi="Palatino Linotype"/>
          <w:sz w:val="22"/>
          <w:szCs w:val="22"/>
          <w:lang w:val="en-US"/>
        </w:rPr>
        <w:t xml:space="preserve"> in GDP</w:t>
      </w:r>
      <w:r w:rsidRPr="00532221">
        <w:rPr>
          <w:rFonts w:ascii="Palatino Linotype" w:eastAsia="Times New Roman" w:hAnsi="Palatino Linotype"/>
          <w:sz w:val="22"/>
          <w:szCs w:val="22"/>
          <w:lang w:val="en-US"/>
        </w:rPr>
        <w:t xml:space="preserve"> in the second quarter</w:t>
      </w:r>
      <w:r>
        <w:rPr>
          <w:rFonts w:ascii="Palatino Linotype" w:eastAsia="Times New Roman" w:hAnsi="Palatino Linotype"/>
          <w:sz w:val="22"/>
          <w:szCs w:val="22"/>
          <w:lang w:val="en-US"/>
        </w:rPr>
        <w:t xml:space="preserve"> of 2020</w:t>
      </w:r>
      <w:r w:rsidRPr="00532221">
        <w:rPr>
          <w:rFonts w:ascii="Palatino Linotype" w:eastAsia="Times New Roman" w:hAnsi="Palatino Linotype"/>
          <w:sz w:val="22"/>
          <w:szCs w:val="22"/>
          <w:lang w:val="en-US"/>
        </w:rPr>
        <w:t>. Greece (+2.3</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Estonia and Finland (both +3.3</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and Lithuania (+3.8</w:t>
      </w:r>
      <w:r>
        <w:rPr>
          <w:rFonts w:ascii="Palatino Linotype" w:eastAsia="Times New Roman" w:hAnsi="Palatino Linotype"/>
          <w:sz w:val="22"/>
          <w:szCs w:val="22"/>
          <w:lang w:val="en-US"/>
        </w:rPr>
        <w:t xml:space="preserve"> per cent</w:t>
      </w:r>
      <w:r w:rsidRPr="00532221">
        <w:rPr>
          <w:rFonts w:ascii="Palatino Linotype" w:eastAsia="Times New Roman" w:hAnsi="Palatino Linotype"/>
          <w:sz w:val="22"/>
          <w:szCs w:val="22"/>
          <w:lang w:val="en-US"/>
        </w:rPr>
        <w:t>) had the lowest increases of GDP.</w:t>
      </w:r>
      <w:r>
        <w:rPr>
          <w:rFonts w:ascii="Palatino Linotype" w:eastAsia="Times New Roman" w:hAnsi="Palatino Linotype"/>
          <w:sz w:val="22"/>
          <w:szCs w:val="22"/>
          <w:lang w:val="en-US"/>
        </w:rPr>
        <w:t xml:space="preserve"> T</w:t>
      </w:r>
      <w:r w:rsidRPr="00F65BD4">
        <w:rPr>
          <w:rFonts w:ascii="Palatino Linotype" w:eastAsia="Times New Roman" w:hAnsi="Palatino Linotype"/>
          <w:sz w:val="22"/>
          <w:szCs w:val="22"/>
          <w:lang w:val="en-US"/>
        </w:rPr>
        <w:t xml:space="preserve">he </w:t>
      </w:r>
      <w:r>
        <w:rPr>
          <w:rFonts w:ascii="Palatino Linotype" w:eastAsia="Times New Roman" w:hAnsi="Palatino Linotype"/>
          <w:sz w:val="22"/>
          <w:szCs w:val="22"/>
          <w:lang w:val="en-US"/>
        </w:rPr>
        <w:t>E</w:t>
      </w:r>
      <w:r w:rsidRPr="00F65BD4">
        <w:rPr>
          <w:rFonts w:ascii="Palatino Linotype" w:eastAsia="Times New Roman" w:hAnsi="Palatino Linotype"/>
          <w:sz w:val="22"/>
          <w:szCs w:val="22"/>
          <w:lang w:val="en-US"/>
        </w:rPr>
        <w:t>uro zone annual inflation remained unchanged at -0.3</w:t>
      </w:r>
      <w:r>
        <w:rPr>
          <w:rFonts w:ascii="Palatino Linotype" w:eastAsia="Times New Roman" w:hAnsi="Palatino Linotype"/>
          <w:sz w:val="22"/>
          <w:szCs w:val="22"/>
          <w:lang w:val="en-US"/>
        </w:rPr>
        <w:t xml:space="preserve"> per cent </w:t>
      </w:r>
      <w:r w:rsidRPr="00F65BD4">
        <w:rPr>
          <w:rFonts w:ascii="Palatino Linotype" w:eastAsia="Times New Roman" w:hAnsi="Palatino Linotype"/>
          <w:sz w:val="22"/>
          <w:szCs w:val="22"/>
          <w:lang w:val="en-US"/>
        </w:rPr>
        <w:t>for the fourth consecutive month. A year earlier, the rate was 1.3</w:t>
      </w:r>
      <w:r>
        <w:rPr>
          <w:rFonts w:ascii="Palatino Linotype" w:eastAsia="Times New Roman" w:hAnsi="Palatino Linotype"/>
          <w:sz w:val="22"/>
          <w:szCs w:val="22"/>
          <w:lang w:val="en-US"/>
        </w:rPr>
        <w:t xml:space="preserve"> per cent</w:t>
      </w:r>
      <w:r w:rsidRPr="00F65BD4">
        <w:rPr>
          <w:rFonts w:ascii="Palatino Linotype" w:eastAsia="Times New Roman" w:hAnsi="Palatino Linotype"/>
          <w:sz w:val="22"/>
          <w:szCs w:val="22"/>
          <w:lang w:val="en-US"/>
        </w:rPr>
        <w:t>.</w:t>
      </w:r>
    </w:p>
    <w:p w:rsidR="000B2BC5" w:rsidRPr="00272724"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B7383F"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In a widely anticipated move, the Federal Open Market Committee (FOMC), in its </w:t>
      </w:r>
      <w:r>
        <w:rPr>
          <w:rFonts w:ascii="Palatino Linotype" w:eastAsia="Times New Roman" w:hAnsi="Palatino Linotype"/>
          <w:sz w:val="22"/>
          <w:szCs w:val="22"/>
          <w:lang w:val="en-US"/>
        </w:rPr>
        <w:t>December</w:t>
      </w:r>
      <w:r w:rsidRPr="00272724">
        <w:rPr>
          <w:rFonts w:ascii="Palatino Linotype" w:eastAsia="Times New Roman" w:hAnsi="Palatino Linotype"/>
          <w:sz w:val="22"/>
          <w:szCs w:val="22"/>
          <w:lang w:val="en-US"/>
        </w:rPr>
        <w:t xml:space="preserve"> </w:t>
      </w:r>
      <w:r w:rsidR="00E66862">
        <w:rPr>
          <w:rFonts w:ascii="Palatino Linotype" w:eastAsia="Times New Roman" w:hAnsi="Palatino Linotype"/>
          <w:sz w:val="22"/>
          <w:szCs w:val="22"/>
          <w:lang w:val="en-US"/>
        </w:rPr>
        <w:t xml:space="preserve">2020 </w:t>
      </w:r>
      <w:r w:rsidRPr="00272724">
        <w:rPr>
          <w:rFonts w:ascii="Palatino Linotype" w:eastAsia="Times New Roman" w:hAnsi="Palatino Linotype"/>
          <w:sz w:val="22"/>
          <w:szCs w:val="22"/>
          <w:lang w:val="en-US"/>
        </w:rPr>
        <w:t xml:space="preserve">meeting, left the interest rate unchanged at zero to 0.25 per cent to support the U.S. economy. </w:t>
      </w:r>
      <w:r w:rsidRPr="00B7383F">
        <w:rPr>
          <w:rFonts w:ascii="Palatino Linotype" w:eastAsia="Times New Roman" w:hAnsi="Palatino Linotype"/>
          <w:sz w:val="22"/>
          <w:szCs w:val="22"/>
          <w:lang w:val="en-US"/>
        </w:rPr>
        <w:t xml:space="preserve">The Fed reiterated that its key rate would stay near zero until the economy reaches full employment and inflation rises above the </w:t>
      </w:r>
      <w:r>
        <w:rPr>
          <w:rFonts w:ascii="Palatino Linotype" w:eastAsia="Times New Roman" w:hAnsi="Palatino Linotype"/>
          <w:sz w:val="22"/>
          <w:szCs w:val="22"/>
          <w:lang w:val="en-US"/>
        </w:rPr>
        <w:t>Federal Reserve’s (</w:t>
      </w:r>
      <w:r w:rsidRPr="00B7383F">
        <w:rPr>
          <w:rFonts w:ascii="Palatino Linotype" w:eastAsia="Times New Roman" w:hAnsi="Palatino Linotype"/>
          <w:sz w:val="22"/>
          <w:szCs w:val="22"/>
          <w:lang w:val="en-US"/>
        </w:rPr>
        <w:t>Fed’s</w:t>
      </w:r>
      <w:r>
        <w:rPr>
          <w:rFonts w:ascii="Palatino Linotype" w:eastAsia="Times New Roman" w:hAnsi="Palatino Linotype"/>
          <w:sz w:val="22"/>
          <w:szCs w:val="22"/>
          <w:lang w:val="en-US"/>
        </w:rPr>
        <w:t>)</w:t>
      </w:r>
      <w:r w:rsidRPr="00B7383F">
        <w:rPr>
          <w:rFonts w:ascii="Palatino Linotype" w:eastAsia="Times New Roman" w:hAnsi="Palatino Linotype"/>
          <w:sz w:val="22"/>
          <w:szCs w:val="22"/>
          <w:lang w:val="en-US"/>
        </w:rPr>
        <w:t xml:space="preserve"> medium term target of 2</w:t>
      </w:r>
      <w:r>
        <w:rPr>
          <w:rFonts w:ascii="Palatino Linotype" w:eastAsia="Times New Roman" w:hAnsi="Palatino Linotype"/>
          <w:sz w:val="22"/>
          <w:szCs w:val="22"/>
          <w:lang w:val="en-US"/>
        </w:rPr>
        <w:t xml:space="preserve"> per cent</w:t>
      </w:r>
      <w:r w:rsidRPr="00B7383F">
        <w:rPr>
          <w:rFonts w:ascii="Palatino Linotype" w:eastAsia="Times New Roman" w:hAnsi="Palatino Linotype"/>
          <w:sz w:val="22"/>
          <w:szCs w:val="22"/>
          <w:lang w:val="en-US"/>
        </w:rPr>
        <w:t>. In a statement after a two-day meeting on December 15th and 16th, the Fed said the bond purchases would be m</w:t>
      </w:r>
      <w:r>
        <w:rPr>
          <w:rFonts w:ascii="Palatino Linotype" w:eastAsia="Times New Roman" w:hAnsi="Palatino Linotype"/>
          <w:sz w:val="22"/>
          <w:szCs w:val="22"/>
          <w:lang w:val="en-US"/>
        </w:rPr>
        <w:t xml:space="preserve">aintained at current levels of USD </w:t>
      </w:r>
      <w:r w:rsidRPr="00B7383F">
        <w:rPr>
          <w:rFonts w:ascii="Palatino Linotype" w:eastAsia="Times New Roman" w:hAnsi="Palatino Linotype"/>
          <w:sz w:val="22"/>
          <w:szCs w:val="22"/>
          <w:lang w:val="en-US"/>
        </w:rPr>
        <w:t>120 billion a month until substantial further progress has been made toward its maximum employment and price stability goals. According to Federal Reserve</w:t>
      </w:r>
      <w:r>
        <w:rPr>
          <w:rFonts w:ascii="Palatino Linotype" w:eastAsia="Times New Roman" w:hAnsi="Palatino Linotype"/>
          <w:sz w:val="22"/>
          <w:szCs w:val="22"/>
          <w:lang w:val="en-US"/>
        </w:rPr>
        <w:t xml:space="preserve"> estimates</w:t>
      </w:r>
      <w:r w:rsidRPr="00B7383F">
        <w:rPr>
          <w:rFonts w:ascii="Palatino Linotype" w:eastAsia="Times New Roman" w:hAnsi="Palatino Linotype"/>
          <w:sz w:val="22"/>
          <w:szCs w:val="22"/>
          <w:lang w:val="en-US"/>
        </w:rPr>
        <w:t>, the US economy is expected to contract by 2.4</w:t>
      </w:r>
      <w:r>
        <w:rPr>
          <w:rFonts w:ascii="Palatino Linotype" w:eastAsia="Times New Roman" w:hAnsi="Palatino Linotype"/>
          <w:sz w:val="22"/>
          <w:szCs w:val="22"/>
          <w:lang w:val="en-US"/>
        </w:rPr>
        <w:t xml:space="preserve"> per cent </w:t>
      </w:r>
      <w:r w:rsidRPr="00B7383F">
        <w:rPr>
          <w:rFonts w:ascii="Palatino Linotype" w:eastAsia="Times New Roman" w:hAnsi="Palatino Linotype"/>
          <w:sz w:val="22"/>
          <w:szCs w:val="22"/>
          <w:lang w:val="en-US"/>
        </w:rPr>
        <w:t>in 2020 (upwardly revised from 3.7</w:t>
      </w:r>
      <w:r>
        <w:rPr>
          <w:rFonts w:ascii="Palatino Linotype" w:eastAsia="Times New Roman" w:hAnsi="Palatino Linotype"/>
          <w:sz w:val="22"/>
          <w:szCs w:val="22"/>
          <w:lang w:val="en-US"/>
        </w:rPr>
        <w:t xml:space="preserve"> per cent </w:t>
      </w:r>
      <w:r w:rsidRPr="00B7383F">
        <w:rPr>
          <w:rFonts w:ascii="Palatino Linotype" w:eastAsia="Times New Roman" w:hAnsi="Palatino Linotype"/>
          <w:sz w:val="22"/>
          <w:szCs w:val="22"/>
          <w:lang w:val="en-US"/>
        </w:rPr>
        <w:t>contraction forecasted in September 2020) and grow by 4.2</w:t>
      </w:r>
      <w:r>
        <w:rPr>
          <w:rFonts w:ascii="Palatino Linotype" w:eastAsia="Times New Roman" w:hAnsi="Palatino Linotype"/>
          <w:sz w:val="22"/>
          <w:szCs w:val="22"/>
          <w:lang w:val="en-US"/>
        </w:rPr>
        <w:t xml:space="preserve"> per cent </w:t>
      </w:r>
      <w:r w:rsidRPr="00B7383F">
        <w:rPr>
          <w:rFonts w:ascii="Palatino Linotype" w:eastAsia="Times New Roman" w:hAnsi="Palatino Linotype"/>
          <w:sz w:val="22"/>
          <w:szCs w:val="22"/>
          <w:lang w:val="en-US"/>
        </w:rPr>
        <w:t>in 2022 (upwardly revised from 4.0</w:t>
      </w:r>
      <w:r>
        <w:rPr>
          <w:rFonts w:ascii="Palatino Linotype" w:eastAsia="Times New Roman" w:hAnsi="Palatino Linotype"/>
          <w:sz w:val="22"/>
          <w:szCs w:val="22"/>
          <w:lang w:val="en-US"/>
        </w:rPr>
        <w:t xml:space="preserve"> per cent </w:t>
      </w:r>
      <w:r w:rsidRPr="00B7383F">
        <w:rPr>
          <w:rFonts w:ascii="Palatino Linotype" w:eastAsia="Times New Roman" w:hAnsi="Palatino Linotype"/>
          <w:sz w:val="22"/>
          <w:szCs w:val="22"/>
          <w:lang w:val="en-US"/>
        </w:rPr>
        <w:t xml:space="preserve">growth forecasted in September 2020). The IMF has forecasted USA growth for 2020 to -4.3 per cent. </w:t>
      </w:r>
    </w:p>
    <w:p w:rsidR="000B2BC5"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272724"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272724">
        <w:rPr>
          <w:rFonts w:ascii="Palatino Linotype" w:eastAsia="Times New Roman" w:hAnsi="Palatino Linotype"/>
          <w:sz w:val="22"/>
          <w:szCs w:val="22"/>
          <w:lang w:val="en-US"/>
        </w:rPr>
        <w:t xml:space="preserve">GDP growth of China rebounded strongly by 4.9 per cent year-on-year in Q3 of 2020, compared to growth rate of 3.2 per cent in Q2 of 2020. According to IMF projections, the Chinese economy is expected to slow down to 1.9 per cent in 2020 before recovering to strong growth of 8.2 per cent in 2021. </w:t>
      </w:r>
    </w:p>
    <w:p w:rsidR="000B2BC5" w:rsidRPr="00272724"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859EF"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India’s GDP growth contracted </w:t>
      </w:r>
      <w:r w:rsidRPr="00272724">
        <w:rPr>
          <w:rFonts w:ascii="Palatino Linotype" w:eastAsia="Times New Roman" w:hAnsi="Palatino Linotype"/>
          <w:sz w:val="22"/>
          <w:szCs w:val="22"/>
          <w:lang w:val="en-US"/>
        </w:rPr>
        <w:t>by</w:t>
      </w:r>
      <w:r>
        <w:rPr>
          <w:rFonts w:ascii="Palatino Linotype" w:eastAsia="Times New Roman" w:hAnsi="Palatino Linotype"/>
          <w:sz w:val="22"/>
          <w:szCs w:val="22"/>
          <w:lang w:val="en-US"/>
        </w:rPr>
        <w:t xml:space="preserve"> 7.5 per cent Y-o-Y during Q2 of 2020-21 compared to -</w:t>
      </w:r>
      <w:r w:rsidRPr="00272724">
        <w:rPr>
          <w:rFonts w:ascii="Palatino Linotype" w:eastAsia="Times New Roman" w:hAnsi="Palatino Linotype"/>
          <w:sz w:val="22"/>
          <w:szCs w:val="22"/>
          <w:lang w:val="en-US"/>
        </w:rPr>
        <w:t xml:space="preserve">23.9 per cent </w:t>
      </w:r>
      <w:r>
        <w:rPr>
          <w:rFonts w:ascii="Palatino Linotype" w:eastAsia="Times New Roman" w:hAnsi="Palatino Linotype"/>
          <w:sz w:val="22"/>
          <w:szCs w:val="22"/>
          <w:lang w:val="en-US"/>
        </w:rPr>
        <w:t xml:space="preserve">growth </w:t>
      </w:r>
      <w:r w:rsidRPr="00272724">
        <w:rPr>
          <w:rFonts w:ascii="Palatino Linotype" w:eastAsia="Times New Roman" w:hAnsi="Palatino Linotype"/>
          <w:sz w:val="22"/>
          <w:szCs w:val="22"/>
          <w:lang w:val="en-US"/>
        </w:rPr>
        <w:t xml:space="preserve">Y-o-Y in Q1 of 2020-21. The business activity in hotels and transportation </w:t>
      </w:r>
      <w:r>
        <w:rPr>
          <w:rFonts w:ascii="Palatino Linotype" w:eastAsia="Times New Roman" w:hAnsi="Palatino Linotype"/>
          <w:sz w:val="22"/>
          <w:szCs w:val="22"/>
          <w:lang w:val="en-US"/>
        </w:rPr>
        <w:t>declined by 15.6</w:t>
      </w:r>
      <w:r w:rsidRPr="00272724">
        <w:rPr>
          <w:rFonts w:ascii="Palatino Linotype" w:eastAsia="Times New Roman" w:hAnsi="Palatino Linotype"/>
          <w:sz w:val="22"/>
          <w:szCs w:val="22"/>
          <w:lang w:val="en-US"/>
        </w:rPr>
        <w:t xml:space="preserve"> per cent and manufacturing </w:t>
      </w:r>
      <w:r>
        <w:rPr>
          <w:rFonts w:ascii="Palatino Linotype" w:eastAsia="Times New Roman" w:hAnsi="Palatino Linotype"/>
          <w:sz w:val="22"/>
          <w:szCs w:val="22"/>
          <w:lang w:val="en-US"/>
        </w:rPr>
        <w:t xml:space="preserve">declined by </w:t>
      </w:r>
      <w:r w:rsidRPr="00272724">
        <w:rPr>
          <w:rFonts w:ascii="Palatino Linotype" w:eastAsia="Times New Roman" w:hAnsi="Palatino Linotype"/>
          <w:sz w:val="22"/>
          <w:szCs w:val="22"/>
          <w:lang w:val="en-US"/>
        </w:rPr>
        <w:t>39.3 per cent</w:t>
      </w:r>
      <w:r>
        <w:rPr>
          <w:rFonts w:ascii="Palatino Linotype" w:eastAsia="Times New Roman" w:hAnsi="Palatino Linotype"/>
          <w:sz w:val="22"/>
          <w:szCs w:val="22"/>
          <w:lang w:val="en-US"/>
        </w:rPr>
        <w:t xml:space="preserve">. There was a decline in public administration services (-12.2 per cent), mining and quarrying (-9.1 per cent) and construction </w:t>
      </w:r>
      <w:r w:rsidR="000859EF">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(-8.6 per cent)</w:t>
      </w:r>
      <w:r w:rsidRPr="00272724">
        <w:rPr>
          <w:rFonts w:ascii="Palatino Linotype" w:eastAsia="Times New Roman" w:hAnsi="Palatino Linotype"/>
          <w:sz w:val="22"/>
          <w:szCs w:val="22"/>
          <w:lang w:val="en-US"/>
        </w:rPr>
        <w:t xml:space="preserve"> sectors. </w:t>
      </w:r>
    </w:p>
    <w:p w:rsidR="000859EF" w:rsidRDefault="000859EF" w:rsidP="000859EF">
      <w:pPr>
        <w:spacing w:before="100" w:beforeAutospacing="1" w:line="276" w:lineRule="auto"/>
        <w:ind w:left="360" w:right="107"/>
        <w:contextualSpacing/>
        <w:jc w:val="both"/>
        <w:rPr>
          <w:rFonts w:ascii="Palatino Linotype" w:eastAsia="Times New Roman" w:hAnsi="Palatino Linotype"/>
          <w:sz w:val="22"/>
          <w:szCs w:val="22"/>
          <w:lang w:val="en-US"/>
        </w:rPr>
      </w:pPr>
    </w:p>
    <w:p w:rsidR="000859EF" w:rsidRPr="00EA3865" w:rsidRDefault="000859EF" w:rsidP="000859EF">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According to the First Advance Estimate released by MOSPI, GDP of India is estimated to fall by 7.7 per cent during the full Financial Year 2020-21, compared to 4.2 per cent expansion in 2019-20. </w:t>
      </w:r>
      <w:r w:rsidRPr="00EA3865">
        <w:rPr>
          <w:rFonts w:ascii="Palatino Linotype" w:eastAsia="Times New Roman" w:hAnsi="Palatino Linotype"/>
          <w:sz w:val="22"/>
          <w:szCs w:val="22"/>
          <w:lang w:val="en-US"/>
        </w:rPr>
        <w:t>World Bank estimates India’s GDP to grow by -9.6</w:t>
      </w:r>
      <w:r>
        <w:rPr>
          <w:rFonts w:ascii="Palatino Linotype" w:eastAsia="Times New Roman" w:hAnsi="Palatino Linotype"/>
          <w:sz w:val="22"/>
          <w:szCs w:val="22"/>
          <w:lang w:val="en-US"/>
        </w:rPr>
        <w:t xml:space="preserve"> per cent </w:t>
      </w:r>
      <w:r w:rsidRPr="00EA3865">
        <w:rPr>
          <w:rFonts w:ascii="Palatino Linotype" w:eastAsia="Times New Roman" w:hAnsi="Palatino Linotype"/>
          <w:sz w:val="22"/>
          <w:szCs w:val="22"/>
          <w:lang w:val="en-US"/>
        </w:rPr>
        <w:t>in 2020-21, owing to a sharp drop in household spending and private investment.</w:t>
      </w:r>
      <w:r w:rsidRPr="00272724">
        <w:rPr>
          <w:rFonts w:ascii="Palatino Linotype" w:eastAsia="Times New Roman" w:hAnsi="Palatino Linotype"/>
          <w:sz w:val="22"/>
          <w:szCs w:val="22"/>
          <w:lang w:val="en-US"/>
        </w:rPr>
        <w:t xml:space="preserve"> According to IMF projections, the Indian economy is expected to grow by </w:t>
      </w:r>
      <w:r>
        <w:rPr>
          <w:rFonts w:ascii="Palatino Linotype" w:eastAsia="Times New Roman" w:hAnsi="Palatino Linotype"/>
          <w:sz w:val="22"/>
          <w:szCs w:val="22"/>
          <w:lang w:val="en-US"/>
        </w:rPr>
        <w:t>11.5</w:t>
      </w:r>
      <w:r w:rsidRPr="00272724">
        <w:rPr>
          <w:rFonts w:ascii="Palatino Linotype" w:eastAsia="Times New Roman" w:hAnsi="Palatino Linotype"/>
          <w:sz w:val="22"/>
          <w:szCs w:val="22"/>
          <w:lang w:val="en-US"/>
        </w:rPr>
        <w:t xml:space="preserve"> per cent in 2021</w:t>
      </w:r>
      <w:r>
        <w:rPr>
          <w:rFonts w:ascii="Palatino Linotype" w:eastAsia="Times New Roman" w:hAnsi="Palatino Linotype"/>
          <w:sz w:val="22"/>
          <w:szCs w:val="22"/>
          <w:lang w:val="en-US"/>
        </w:rPr>
        <w:t>-22</w:t>
      </w:r>
      <w:r w:rsidRPr="00272724">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IMF also revised its India GDP growth estimate for 2020-21 to -8.0 per cent from earlier -10.3 per cent.</w:t>
      </w:r>
    </w:p>
    <w:p w:rsidR="000B2BC5" w:rsidRPr="00272724" w:rsidRDefault="000B2BC5" w:rsidP="000B2BC5">
      <w:pPr>
        <w:spacing w:before="100" w:beforeAutospacing="1" w:line="276" w:lineRule="auto"/>
        <w:ind w:left="360" w:right="107"/>
        <w:contextualSpacing/>
        <w:jc w:val="both"/>
        <w:rPr>
          <w:rFonts w:ascii="Palatino Linotype" w:eastAsia="Times New Roman" w:hAnsi="Palatino Linotype"/>
          <w:sz w:val="22"/>
          <w:szCs w:val="22"/>
          <w:lang w:val="en-US"/>
        </w:rPr>
      </w:pPr>
    </w:p>
    <w:p w:rsidR="000B2BC5" w:rsidRPr="006202FA" w:rsidRDefault="000B2BC5" w:rsidP="000B2BC5">
      <w:pPr>
        <w:numPr>
          <w:ilvl w:val="0"/>
          <w:numId w:val="23"/>
        </w:numPr>
        <w:spacing w:before="100" w:beforeAutospacing="1" w:line="276" w:lineRule="auto"/>
        <w:ind w:right="107"/>
        <w:contextualSpacing/>
        <w:jc w:val="both"/>
        <w:rPr>
          <w:rFonts w:ascii="Palatino Linotype" w:eastAsia="Times New Roman" w:hAnsi="Palatino Linotype"/>
          <w:sz w:val="22"/>
          <w:szCs w:val="22"/>
          <w:lang w:val="en-US"/>
        </w:rPr>
      </w:pPr>
      <w:r w:rsidRPr="006202FA">
        <w:rPr>
          <w:rFonts w:ascii="Palatino Linotype" w:eastAsia="Times New Roman" w:hAnsi="Palatino Linotype"/>
          <w:sz w:val="22"/>
          <w:szCs w:val="22"/>
          <w:lang w:val="en-US"/>
        </w:rPr>
        <w:t xml:space="preserve">Retail inflation (CPI Inflation) in India </w:t>
      </w:r>
      <w:r>
        <w:rPr>
          <w:rFonts w:ascii="Palatino Linotype" w:eastAsia="Times New Roman" w:hAnsi="Palatino Linotype"/>
          <w:sz w:val="22"/>
          <w:szCs w:val="22"/>
          <w:lang w:val="en-US"/>
        </w:rPr>
        <w:t>eased to 4.6 per cent in December 2020, compared to</w:t>
      </w:r>
      <w:r w:rsidRPr="006202FA">
        <w:rPr>
          <w:rFonts w:ascii="Palatino Linotype" w:eastAsia="Times New Roman" w:hAnsi="Palatino Linotype"/>
          <w:sz w:val="22"/>
          <w:szCs w:val="22"/>
          <w:lang w:val="en-US"/>
        </w:rPr>
        <w:t xml:space="preserve"> 6.9 per cent in November 2020 from 7.6 per cent in the previous month. Index of Industrial Production (IIP) </w:t>
      </w:r>
      <w:r>
        <w:rPr>
          <w:rFonts w:ascii="Palatino Linotype" w:eastAsia="Times New Roman" w:hAnsi="Palatino Linotype"/>
          <w:sz w:val="22"/>
          <w:szCs w:val="22"/>
          <w:lang w:val="en-US"/>
        </w:rPr>
        <w:t>contracted by</w:t>
      </w:r>
      <w:r w:rsidRPr="006202FA">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1.9</w:t>
      </w:r>
      <w:r w:rsidRPr="006202FA">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November</w:t>
      </w:r>
      <w:r w:rsidRPr="006202FA">
        <w:rPr>
          <w:rFonts w:ascii="Palatino Linotype" w:eastAsia="Times New Roman" w:hAnsi="Palatino Linotype"/>
          <w:sz w:val="22"/>
          <w:szCs w:val="22"/>
          <w:lang w:val="en-US"/>
        </w:rPr>
        <w:t xml:space="preserve"> 2020, compared to </w:t>
      </w:r>
      <w:r>
        <w:rPr>
          <w:rFonts w:ascii="Palatino Linotype" w:eastAsia="Times New Roman" w:hAnsi="Palatino Linotype"/>
          <w:sz w:val="22"/>
          <w:szCs w:val="22"/>
          <w:lang w:val="en-US"/>
        </w:rPr>
        <w:t>4.9</w:t>
      </w:r>
      <w:r w:rsidRPr="006202FA">
        <w:rPr>
          <w:rFonts w:ascii="Palatino Linotype" w:eastAsia="Times New Roman" w:hAnsi="Palatino Linotype"/>
          <w:sz w:val="22"/>
          <w:szCs w:val="22"/>
          <w:lang w:val="en-US"/>
        </w:rPr>
        <w:t xml:space="preserve"> per</w:t>
      </w:r>
      <w:r>
        <w:rPr>
          <w:rFonts w:ascii="Palatino Linotype" w:eastAsia="Times New Roman" w:hAnsi="Palatino Linotype"/>
          <w:sz w:val="22"/>
          <w:szCs w:val="22"/>
          <w:lang w:val="en-US"/>
        </w:rPr>
        <w:t xml:space="preserve"> </w:t>
      </w:r>
      <w:r w:rsidRPr="006202FA">
        <w:rPr>
          <w:rFonts w:ascii="Palatino Linotype" w:eastAsia="Times New Roman" w:hAnsi="Palatino Linotype"/>
          <w:sz w:val="22"/>
          <w:szCs w:val="22"/>
          <w:lang w:val="en-US"/>
        </w:rPr>
        <w:t>cent</w:t>
      </w:r>
      <w:r>
        <w:rPr>
          <w:rFonts w:ascii="Palatino Linotype" w:eastAsia="Times New Roman" w:hAnsi="Palatino Linotype"/>
          <w:sz w:val="22"/>
          <w:szCs w:val="22"/>
          <w:lang w:val="en-US"/>
        </w:rPr>
        <w:t xml:space="preserve"> growth</w:t>
      </w:r>
      <w:r w:rsidRPr="006202FA">
        <w:rPr>
          <w:rFonts w:ascii="Palatino Linotype" w:eastAsia="Times New Roman" w:hAnsi="Palatino Linotype"/>
          <w:sz w:val="22"/>
          <w:szCs w:val="22"/>
          <w:lang w:val="en-US"/>
        </w:rPr>
        <w:t xml:space="preserve"> in </w:t>
      </w:r>
      <w:r>
        <w:rPr>
          <w:rFonts w:ascii="Palatino Linotype" w:eastAsia="Times New Roman" w:hAnsi="Palatino Linotype"/>
          <w:sz w:val="22"/>
          <w:szCs w:val="22"/>
          <w:lang w:val="en-US"/>
        </w:rPr>
        <w:t>Octo</w:t>
      </w:r>
      <w:r w:rsidRPr="006202FA">
        <w:rPr>
          <w:rFonts w:ascii="Palatino Linotype" w:eastAsia="Times New Roman" w:hAnsi="Palatino Linotype"/>
          <w:sz w:val="22"/>
          <w:szCs w:val="22"/>
          <w:lang w:val="en-US"/>
        </w:rPr>
        <w:t xml:space="preserve">ber 2020. </w:t>
      </w:r>
      <w:r w:rsidRPr="00A403D0">
        <w:rPr>
          <w:rFonts w:ascii="Palatino Linotype" w:eastAsia="Times New Roman" w:hAnsi="Palatino Linotype"/>
          <w:sz w:val="22"/>
          <w:szCs w:val="22"/>
          <w:lang w:val="en-US"/>
        </w:rPr>
        <w:t>The contraction in India's industrial output is due to contraction in mining and manufacturing sectors. The manufacturing sector witnessed contraction of 1.7</w:t>
      </w:r>
      <w:r>
        <w:rPr>
          <w:rFonts w:ascii="Palatino Linotype" w:eastAsia="Times New Roman" w:hAnsi="Palatino Linotype"/>
          <w:sz w:val="22"/>
          <w:szCs w:val="22"/>
          <w:lang w:val="en-US"/>
        </w:rPr>
        <w:t xml:space="preserve"> per cent </w:t>
      </w:r>
      <w:r w:rsidRPr="00A403D0">
        <w:rPr>
          <w:rFonts w:ascii="Palatino Linotype" w:eastAsia="Times New Roman" w:hAnsi="Palatino Linotype"/>
          <w:sz w:val="22"/>
          <w:szCs w:val="22"/>
          <w:lang w:val="en-US"/>
        </w:rPr>
        <w:t>as compared to growth of 3</w:t>
      </w:r>
      <w:r>
        <w:rPr>
          <w:rFonts w:ascii="Palatino Linotype" w:eastAsia="Times New Roman" w:hAnsi="Palatino Linotype"/>
          <w:sz w:val="22"/>
          <w:szCs w:val="22"/>
          <w:lang w:val="en-US"/>
        </w:rPr>
        <w:t xml:space="preserve"> per cent </w:t>
      </w:r>
      <w:r w:rsidRPr="00A403D0">
        <w:rPr>
          <w:rFonts w:ascii="Palatino Linotype" w:eastAsia="Times New Roman" w:hAnsi="Palatino Linotype"/>
          <w:sz w:val="22"/>
          <w:szCs w:val="22"/>
          <w:lang w:val="en-US"/>
        </w:rPr>
        <w:t>a year ago, while the mining sector saw contraction of 7.3</w:t>
      </w:r>
      <w:r>
        <w:rPr>
          <w:rFonts w:ascii="Palatino Linotype" w:eastAsia="Times New Roman" w:hAnsi="Palatino Linotype"/>
          <w:sz w:val="22"/>
          <w:szCs w:val="22"/>
          <w:lang w:val="en-US"/>
        </w:rPr>
        <w:t xml:space="preserve"> per cent </w:t>
      </w:r>
      <w:r w:rsidRPr="00A403D0">
        <w:rPr>
          <w:rFonts w:ascii="Palatino Linotype" w:eastAsia="Times New Roman" w:hAnsi="Palatino Linotype"/>
          <w:sz w:val="22"/>
          <w:szCs w:val="22"/>
          <w:lang w:val="en-US"/>
        </w:rPr>
        <w:t>in November 2020 as against growth of 1.9</w:t>
      </w:r>
      <w:r>
        <w:rPr>
          <w:rFonts w:ascii="Palatino Linotype" w:eastAsia="Times New Roman" w:hAnsi="Palatino Linotype"/>
          <w:sz w:val="22"/>
          <w:szCs w:val="22"/>
          <w:lang w:val="en-US"/>
        </w:rPr>
        <w:t xml:space="preserve"> per cent </w:t>
      </w:r>
      <w:r w:rsidRPr="00A403D0">
        <w:rPr>
          <w:rFonts w:ascii="Palatino Linotype" w:eastAsia="Times New Roman" w:hAnsi="Palatino Linotype"/>
          <w:sz w:val="22"/>
          <w:szCs w:val="22"/>
          <w:lang w:val="en-US"/>
        </w:rPr>
        <w:t>in November 2019.</w:t>
      </w:r>
      <w:r>
        <w:rPr>
          <w:color w:val="212121"/>
          <w:sz w:val="27"/>
          <w:szCs w:val="27"/>
          <w:shd w:val="clear" w:color="auto" w:fill="FFFFFF"/>
        </w:rPr>
        <w:t> </w:t>
      </w:r>
      <w:r w:rsidRPr="006202FA">
        <w:rPr>
          <w:rFonts w:ascii="Palatino Linotype" w:eastAsia="Times New Roman" w:hAnsi="Palatino Linotype"/>
          <w:sz w:val="22"/>
          <w:szCs w:val="22"/>
          <w:lang w:val="en-US"/>
        </w:rPr>
        <w:t xml:space="preserve"> India’s PMI data indicated moderation in the economic activity in the month of </w:t>
      </w:r>
      <w:r>
        <w:rPr>
          <w:rFonts w:ascii="Palatino Linotype" w:eastAsia="Times New Roman" w:hAnsi="Palatino Linotype"/>
          <w:sz w:val="22"/>
          <w:szCs w:val="22"/>
          <w:lang w:val="en-US"/>
        </w:rPr>
        <w:t>December</w:t>
      </w:r>
      <w:r w:rsidRPr="006202FA">
        <w:rPr>
          <w:rFonts w:ascii="Palatino Linotype" w:eastAsia="Times New Roman" w:hAnsi="Palatino Linotype"/>
          <w:sz w:val="22"/>
          <w:szCs w:val="22"/>
          <w:lang w:val="en-US"/>
        </w:rPr>
        <w:t xml:space="preserve"> 2020.  India’s composite PMI decreased to </w:t>
      </w:r>
      <w:r>
        <w:rPr>
          <w:rFonts w:ascii="Palatino Linotype" w:eastAsia="Times New Roman" w:hAnsi="Palatino Linotype"/>
          <w:sz w:val="22"/>
          <w:szCs w:val="22"/>
          <w:lang w:val="en-US"/>
        </w:rPr>
        <w:t>54.90</w:t>
      </w:r>
      <w:r w:rsidRPr="006202FA">
        <w:rPr>
          <w:rFonts w:ascii="Palatino Linotype" w:eastAsia="Times New Roman" w:hAnsi="Palatino Linotype"/>
          <w:sz w:val="22"/>
          <w:szCs w:val="22"/>
          <w:lang w:val="en-US"/>
        </w:rPr>
        <w:t xml:space="preserve"> in</w:t>
      </w:r>
      <w:r>
        <w:rPr>
          <w:rFonts w:ascii="Palatino Linotype" w:eastAsia="Times New Roman" w:hAnsi="Palatino Linotype"/>
          <w:sz w:val="22"/>
          <w:szCs w:val="22"/>
          <w:lang w:val="en-US"/>
        </w:rPr>
        <w:t xml:space="preserve"> December 2020, from </w:t>
      </w:r>
      <w:r w:rsidRPr="006202FA">
        <w:rPr>
          <w:rFonts w:ascii="Palatino Linotype" w:eastAsia="Times New Roman" w:hAnsi="Palatino Linotype"/>
          <w:sz w:val="22"/>
          <w:szCs w:val="22"/>
          <w:lang w:val="en-US"/>
        </w:rPr>
        <w:t>56.30</w:t>
      </w:r>
      <w:r>
        <w:rPr>
          <w:rFonts w:ascii="Palatino Linotype" w:eastAsia="Times New Roman" w:hAnsi="Palatino Linotype"/>
          <w:sz w:val="22"/>
          <w:szCs w:val="22"/>
          <w:lang w:val="en-US"/>
        </w:rPr>
        <w:t xml:space="preserve"> in</w:t>
      </w:r>
      <w:r w:rsidRPr="006202FA">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the previous month</w:t>
      </w:r>
      <w:r w:rsidRPr="006202FA">
        <w:rPr>
          <w:rFonts w:ascii="Palatino Linotype" w:eastAsia="Times New Roman" w:hAnsi="Palatino Linotype"/>
          <w:sz w:val="22"/>
          <w:szCs w:val="22"/>
          <w:lang w:val="en-US"/>
        </w:rPr>
        <w:t xml:space="preserve">. The manufacturing PMI for </w:t>
      </w:r>
      <w:r>
        <w:rPr>
          <w:rFonts w:ascii="Palatino Linotype" w:eastAsia="Times New Roman" w:hAnsi="Palatino Linotype"/>
          <w:sz w:val="22"/>
          <w:szCs w:val="22"/>
          <w:lang w:val="en-US"/>
        </w:rPr>
        <w:t>December remained unchanged at</w:t>
      </w:r>
      <w:r w:rsidRPr="006202FA">
        <w:rPr>
          <w:rFonts w:ascii="Palatino Linotype" w:eastAsia="Times New Roman" w:hAnsi="Palatino Linotype"/>
          <w:sz w:val="22"/>
          <w:szCs w:val="22"/>
          <w:lang w:val="en-US"/>
        </w:rPr>
        <w:t xml:space="preserve"> 56.3. The services PMI decreased </w:t>
      </w:r>
      <w:r w:rsidRPr="00B97604">
        <w:rPr>
          <w:rFonts w:ascii="Palatino Linotype" w:eastAsia="Times New Roman" w:hAnsi="Palatino Linotype"/>
          <w:sz w:val="22"/>
          <w:szCs w:val="22"/>
          <w:lang w:val="en-US"/>
        </w:rPr>
        <w:t xml:space="preserve">to 52.3 in December 2020 </w:t>
      </w:r>
      <w:r>
        <w:rPr>
          <w:rFonts w:ascii="Palatino Linotype" w:eastAsia="Times New Roman" w:hAnsi="Palatino Linotype"/>
          <w:sz w:val="22"/>
          <w:szCs w:val="22"/>
          <w:lang w:val="en-US"/>
        </w:rPr>
        <w:t>from 53.7 in</w:t>
      </w:r>
      <w:r w:rsidRPr="006202FA">
        <w:rPr>
          <w:rFonts w:ascii="Palatino Linotype" w:eastAsia="Times New Roman" w:hAnsi="Palatino Linotype"/>
          <w:sz w:val="22"/>
          <w:szCs w:val="22"/>
          <w:lang w:val="en-US"/>
        </w:rPr>
        <w:t xml:space="preserve"> November 2020.</w:t>
      </w:r>
    </w:p>
    <w:p w:rsidR="009C796D" w:rsidRPr="00802AB9" w:rsidRDefault="009C796D" w:rsidP="009C796D">
      <w:pPr>
        <w:spacing w:line="23" w:lineRule="atLeast"/>
        <w:ind w:left="720"/>
        <w:contextualSpacing/>
        <w:rPr>
          <w:rFonts w:ascii="Garamond" w:eastAsia="Times New Roman" w:hAnsi="Garamond"/>
          <w:b/>
          <w:strike/>
          <w:lang w:val="en-US" w:eastAsia="en-GB"/>
        </w:rPr>
      </w:pPr>
    </w:p>
    <w:p w:rsidR="009C796D" w:rsidRPr="00272724" w:rsidRDefault="009C796D" w:rsidP="009C796D">
      <w:pPr>
        <w:spacing w:line="23" w:lineRule="atLeast"/>
        <w:ind w:left="720"/>
        <w:contextualSpacing/>
        <w:rPr>
          <w:rFonts w:ascii="Garamond" w:eastAsia="Times New Roman" w:hAnsi="Garamond"/>
          <w:b/>
          <w:strike/>
          <w:sz w:val="22"/>
          <w:szCs w:val="22"/>
          <w:lang w:val="en-US" w:eastAsia="en-GB"/>
        </w:rPr>
      </w:pPr>
    </w:p>
    <w:p w:rsidR="000B2BC5" w:rsidRPr="00272724" w:rsidRDefault="000B2BC5" w:rsidP="000B2BC5">
      <w:pPr>
        <w:spacing w:line="23" w:lineRule="atLeast"/>
        <w:ind w:left="18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lang w:val="en-US" w:eastAsia="en-GB"/>
        </w:rPr>
        <w:t>Market Trends</w:t>
      </w:r>
      <w:r w:rsidRPr="00272724">
        <w:rPr>
          <w:rFonts w:ascii="Palatino Linotype" w:eastAsia="Times New Roman" w:hAnsi="Palatino Linotype"/>
          <w:b/>
          <w:sz w:val="22"/>
          <w:szCs w:val="22"/>
          <w:vertAlign w:val="superscript"/>
          <w:lang w:val="en-US" w:eastAsia="en-GB"/>
        </w:rPr>
        <w:footnoteReference w:id="3"/>
      </w:r>
      <w:r w:rsidRPr="00272724">
        <w:rPr>
          <w:rFonts w:ascii="Palatino Linotype" w:eastAsia="Times New Roman" w:hAnsi="Palatino Linotype"/>
          <w:b/>
          <w:sz w:val="22"/>
          <w:szCs w:val="22"/>
          <w:lang w:val="en-US" w:eastAsia="en-GB"/>
        </w:rPr>
        <w:t xml:space="preserve"> – </w:t>
      </w:r>
    </w:p>
    <w:p w:rsidR="000B2BC5" w:rsidRPr="00272724" w:rsidRDefault="000B2BC5" w:rsidP="000B2BC5">
      <w:pPr>
        <w:spacing w:line="23" w:lineRule="atLeast"/>
        <w:ind w:left="180"/>
        <w:contextualSpacing/>
        <w:rPr>
          <w:rFonts w:ascii="Palatino Linotype" w:eastAsia="Times New Roman" w:hAnsi="Palatino Linotype"/>
          <w:b/>
          <w:sz w:val="22"/>
          <w:szCs w:val="22"/>
          <w:lang w:val="en-US" w:eastAsia="en-GB"/>
        </w:rPr>
      </w:pPr>
    </w:p>
    <w:p w:rsidR="000B2BC5" w:rsidRPr="00272724" w:rsidRDefault="000B2BC5" w:rsidP="000B2BC5">
      <w:pPr>
        <w:spacing w:line="360" w:lineRule="auto"/>
        <w:ind w:left="720"/>
        <w:contextualSpacing/>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eastAsia="en-GB"/>
        </w:rPr>
        <w:t>Equity Markets (Figures 1-2, Table A1)</w:t>
      </w:r>
      <w:r w:rsidRPr="00272724">
        <w:rPr>
          <w:rFonts w:ascii="Palatino Linotype" w:eastAsia="Times New Roman" w:hAnsi="Palatino Linotype"/>
          <w:b/>
          <w:sz w:val="22"/>
          <w:szCs w:val="22"/>
          <w:lang w:val="en-US" w:eastAsia="en-GB"/>
        </w:rPr>
        <w:t>-</w:t>
      </w:r>
    </w:p>
    <w:p w:rsidR="000B2BC5" w:rsidRPr="00272724" w:rsidRDefault="000B2BC5" w:rsidP="000B2BC5">
      <w:pPr>
        <w:numPr>
          <w:ilvl w:val="0"/>
          <w:numId w:val="16"/>
        </w:numPr>
        <w:spacing w:line="276" w:lineRule="auto"/>
        <w:jc w:val="both"/>
        <w:rPr>
          <w:rFonts w:ascii="Palatino Linotype" w:eastAsia="Times New Roman" w:hAnsi="Palatino Linotype"/>
          <w:bCs/>
          <w:color w:val="FF0000"/>
          <w:sz w:val="22"/>
          <w:szCs w:val="22"/>
          <w:lang w:val="en-US" w:eastAsia="en-GB"/>
        </w:rPr>
      </w:pPr>
      <w:r w:rsidRPr="00272724">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December</w:t>
      </w:r>
      <w:r w:rsidRPr="00272724">
        <w:rPr>
          <w:rFonts w:ascii="Palatino Linotype" w:eastAsia="Times New Roman" w:hAnsi="Palatino Linotype"/>
          <w:bCs/>
          <w:sz w:val="22"/>
          <w:szCs w:val="22"/>
          <w:lang w:val="en-US" w:eastAsia="en-GB"/>
        </w:rPr>
        <w:t xml:space="preserve"> 2020, highest annualized monthly volatility amongst the BRICS countries was observed in Russian Traded (</w:t>
      </w:r>
      <w:r w:rsidRPr="00290A74">
        <w:rPr>
          <w:rFonts w:ascii="Palatino Linotype" w:eastAsia="Times New Roman" w:hAnsi="Palatino Linotype"/>
          <w:bCs/>
          <w:sz w:val="22"/>
          <w:szCs w:val="22"/>
          <w:lang w:val="en-US" w:eastAsia="en-GB"/>
        </w:rPr>
        <w:t>75.1</w:t>
      </w:r>
      <w:r w:rsidRPr="00272724">
        <w:rPr>
          <w:rFonts w:ascii="Palatino Linotype" w:eastAsia="Times New Roman" w:hAnsi="Palatino Linotype"/>
          <w:bCs/>
          <w:sz w:val="22"/>
          <w:szCs w:val="22"/>
          <w:lang w:val="en-US" w:eastAsia="en-GB"/>
        </w:rPr>
        <w:t xml:space="preserve"> per ce</w:t>
      </w:r>
      <w:r>
        <w:rPr>
          <w:rFonts w:ascii="Palatino Linotype" w:eastAsia="Times New Roman" w:hAnsi="Palatino Linotype"/>
          <w:bCs/>
          <w:sz w:val="22"/>
          <w:szCs w:val="22"/>
          <w:lang w:val="en-US" w:eastAsia="en-GB"/>
        </w:rPr>
        <w:t>nt) followed by Brazil IBOVESPA</w:t>
      </w:r>
      <w:r w:rsidRPr="00272724">
        <w:rPr>
          <w:rFonts w:ascii="Palatino Linotype" w:eastAsia="Times New Roman" w:hAnsi="Palatino Linotype"/>
          <w:bCs/>
          <w:sz w:val="22"/>
          <w:szCs w:val="22"/>
          <w:lang w:val="en-US" w:eastAsia="en-GB"/>
        </w:rPr>
        <w:t xml:space="preserve"> (</w:t>
      </w:r>
      <w:r w:rsidRPr="00290A74">
        <w:rPr>
          <w:rFonts w:ascii="Palatino Linotype" w:eastAsia="Times New Roman" w:hAnsi="Palatino Linotype"/>
          <w:sz w:val="22"/>
          <w:szCs w:val="22"/>
          <w:lang w:val="en-IN" w:eastAsia="en-IN"/>
        </w:rPr>
        <w:t>51.0</w:t>
      </w:r>
      <w:r w:rsidRPr="00272724">
        <w:rPr>
          <w:rFonts w:ascii="Palatino Linotype" w:eastAsia="Times New Roman" w:hAnsi="Palatino Linotype"/>
          <w:sz w:val="22"/>
          <w:szCs w:val="22"/>
          <w:lang w:val="en-IN" w:eastAsia="en-IN"/>
        </w:rPr>
        <w:t xml:space="preserve"> per cent</w:t>
      </w:r>
      <w:r w:rsidRPr="00272724">
        <w:rPr>
          <w:rFonts w:ascii="Palatino Linotype" w:eastAsia="Times New Roman" w:hAnsi="Palatino Linotype"/>
          <w:bCs/>
          <w:sz w:val="22"/>
          <w:szCs w:val="22"/>
          <w:lang w:val="en-US" w:eastAsia="en-GB"/>
        </w:rPr>
        <w:t>) and</w:t>
      </w:r>
      <w:r w:rsidRPr="00290A7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India (</w:t>
      </w:r>
      <w:r w:rsidRPr="00272724">
        <w:rPr>
          <w:rFonts w:ascii="Palatino Linotype" w:eastAsia="Times New Roman" w:hAnsi="Palatino Linotype"/>
          <w:bCs/>
          <w:sz w:val="22"/>
          <w:szCs w:val="22"/>
          <w:lang w:val="en-US" w:eastAsia="en-GB"/>
        </w:rPr>
        <w:t>Sensex (</w:t>
      </w:r>
      <w:r w:rsidRPr="00290A74">
        <w:rPr>
          <w:rFonts w:ascii="Palatino Linotype" w:eastAsia="Times New Roman" w:hAnsi="Palatino Linotype"/>
          <w:bCs/>
          <w:sz w:val="22"/>
          <w:szCs w:val="22"/>
          <w:lang w:val="en-US" w:eastAsia="en-GB"/>
        </w:rPr>
        <w:t>37.6</w:t>
      </w:r>
      <w:r w:rsidRPr="00272724">
        <w:rPr>
          <w:rFonts w:ascii="Palatino Linotype" w:eastAsia="Times New Roman" w:hAnsi="Palatino Linotype"/>
          <w:bCs/>
          <w:sz w:val="22"/>
          <w:szCs w:val="22"/>
          <w:lang w:val="en-US" w:eastAsia="en-GB"/>
        </w:rPr>
        <w:t xml:space="preserve"> per cent), and</w:t>
      </w:r>
      <w:r w:rsidRPr="004710AB">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Nifty 50 (</w:t>
      </w:r>
      <w:r w:rsidRPr="00290A74">
        <w:rPr>
          <w:rFonts w:ascii="Palatino Linotype" w:eastAsia="Times New Roman" w:hAnsi="Palatino Linotype"/>
          <w:bCs/>
          <w:sz w:val="22"/>
          <w:szCs w:val="22"/>
          <w:lang w:val="en-US" w:eastAsia="en-GB"/>
        </w:rPr>
        <w:t>37.5</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The lowest annualized volatility among BRICS was observed in</w:t>
      </w:r>
      <w:r w:rsidRPr="004710AB">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Shanghai Composite (</w:t>
      </w:r>
      <w:r w:rsidRPr="00817E9A">
        <w:rPr>
          <w:rFonts w:ascii="Palatino Linotype" w:eastAsia="Times New Roman" w:hAnsi="Palatino Linotype"/>
          <w:bCs/>
          <w:sz w:val="22"/>
          <w:szCs w:val="22"/>
          <w:lang w:val="en-US" w:eastAsia="en-GB"/>
        </w:rPr>
        <w:t>21.6</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and</w:t>
      </w:r>
      <w:r w:rsidRPr="00272724">
        <w:rPr>
          <w:rFonts w:ascii="Palatino Linotype" w:eastAsia="Times New Roman" w:hAnsi="Palatino Linotype"/>
          <w:bCs/>
          <w:sz w:val="22"/>
          <w:szCs w:val="22"/>
          <w:lang w:val="en-US" w:eastAsia="en-GB"/>
        </w:rPr>
        <w:t xml:space="preserve"> South Africa FTSE (</w:t>
      </w:r>
      <w:r w:rsidRPr="007B0B1D">
        <w:rPr>
          <w:rFonts w:ascii="Palatino Linotype" w:eastAsia="Times New Roman" w:hAnsi="Palatino Linotype"/>
          <w:bCs/>
          <w:sz w:val="22"/>
          <w:szCs w:val="22"/>
          <w:lang w:val="en-US" w:eastAsia="en-GB"/>
        </w:rPr>
        <w:t>32.5</w:t>
      </w:r>
      <w:r w:rsidRPr="00272724">
        <w:rPr>
          <w:rFonts w:ascii="Palatino Linotype" w:eastAsia="Times New Roman" w:hAnsi="Palatino Linotype"/>
          <w:bCs/>
          <w:sz w:val="22"/>
          <w:szCs w:val="22"/>
          <w:lang w:val="en-US" w:eastAsia="en-GB"/>
        </w:rPr>
        <w:t xml:space="preserve"> per cent). Among the developed markets, highest annualized volatility was observed in </w:t>
      </w:r>
      <w:r>
        <w:rPr>
          <w:rFonts w:ascii="Palatino Linotype" w:eastAsia="Times New Roman" w:hAnsi="Palatino Linotype"/>
          <w:bCs/>
          <w:sz w:val="22"/>
          <w:szCs w:val="22"/>
          <w:lang w:val="en-US" w:eastAsia="en-GB"/>
        </w:rPr>
        <w:t>France CAC 40</w:t>
      </w:r>
      <w:r w:rsidRPr="00272724">
        <w:rPr>
          <w:rFonts w:ascii="Palatino Linotype" w:eastAsia="Times New Roman" w:hAnsi="Palatino Linotype"/>
          <w:bCs/>
          <w:sz w:val="22"/>
          <w:szCs w:val="22"/>
          <w:lang w:val="en-US" w:eastAsia="en-GB"/>
        </w:rPr>
        <w:t xml:space="preserve"> (</w:t>
      </w:r>
      <w:r w:rsidRPr="00CA3705">
        <w:rPr>
          <w:rFonts w:ascii="Palatino Linotype" w:eastAsia="Times New Roman" w:hAnsi="Palatino Linotype"/>
          <w:bCs/>
          <w:sz w:val="22"/>
          <w:szCs w:val="22"/>
          <w:lang w:val="en-US" w:eastAsia="en-GB"/>
        </w:rPr>
        <w:t>65.9</w:t>
      </w:r>
      <w:r w:rsidRPr="00272724">
        <w:rPr>
          <w:rFonts w:ascii="Palatino Linotype" w:eastAsia="Times New Roman" w:hAnsi="Palatino Linotype"/>
          <w:bCs/>
          <w:sz w:val="22"/>
          <w:szCs w:val="22"/>
          <w:lang w:val="en-US" w:eastAsia="en-GB"/>
        </w:rPr>
        <w:t xml:space="preserve"> per cent) and the lowest was observed at </w:t>
      </w:r>
      <w:r>
        <w:rPr>
          <w:rFonts w:ascii="Palatino Linotype" w:eastAsia="Times New Roman" w:hAnsi="Palatino Linotype"/>
          <w:bCs/>
          <w:sz w:val="22"/>
          <w:szCs w:val="22"/>
          <w:lang w:val="en-US" w:eastAsia="en-GB"/>
        </w:rPr>
        <w:t>Hong Kong</w:t>
      </w:r>
      <w:r w:rsidRPr="00120CAA">
        <w:rPr>
          <w:rFonts w:ascii="Palatino Linotype" w:eastAsia="Times New Roman" w:hAnsi="Palatino Linotype"/>
          <w:bCs/>
          <w:sz w:val="22"/>
          <w:szCs w:val="22"/>
          <w:lang w:val="en-US" w:eastAsia="en-GB"/>
        </w:rPr>
        <w:t xml:space="preserve"> </w:t>
      </w:r>
      <w:r w:rsidRPr="00B527A8">
        <w:rPr>
          <w:rFonts w:ascii="Palatino Linotype" w:eastAsia="Times New Roman" w:hAnsi="Palatino Linotype"/>
          <w:bCs/>
          <w:sz w:val="22"/>
          <w:szCs w:val="22"/>
          <w:lang w:val="en-US" w:eastAsia="en-GB"/>
        </w:rPr>
        <w:t xml:space="preserve">HANG SENG </w:t>
      </w:r>
      <w:r w:rsidRPr="00272724">
        <w:rPr>
          <w:rFonts w:ascii="Palatino Linotype" w:eastAsia="Times New Roman" w:hAnsi="Palatino Linotype"/>
          <w:bCs/>
          <w:sz w:val="22"/>
          <w:szCs w:val="22"/>
          <w:lang w:val="en-US" w:eastAsia="en-GB"/>
        </w:rPr>
        <w:t>(</w:t>
      </w:r>
      <w:r w:rsidRPr="00CA3705">
        <w:rPr>
          <w:rFonts w:ascii="Palatino Linotype" w:eastAsia="Times New Roman" w:hAnsi="Palatino Linotype"/>
          <w:bCs/>
          <w:sz w:val="22"/>
          <w:szCs w:val="22"/>
          <w:lang w:val="en-US" w:eastAsia="en-GB"/>
        </w:rPr>
        <w:t>26.1</w:t>
      </w:r>
      <w:r w:rsidRPr="00272724">
        <w:rPr>
          <w:rFonts w:ascii="Palatino Linotype" w:eastAsia="Times New Roman" w:hAnsi="Palatino Linotype"/>
          <w:bCs/>
          <w:sz w:val="22"/>
          <w:szCs w:val="22"/>
          <w:lang w:val="en-US" w:eastAsia="en-GB"/>
        </w:rPr>
        <w:t xml:space="preserve"> per cent)). </w:t>
      </w:r>
    </w:p>
    <w:p w:rsidR="000B2BC5" w:rsidRPr="00272724" w:rsidRDefault="000B2BC5" w:rsidP="000B2BC5">
      <w:pPr>
        <w:spacing w:line="276" w:lineRule="auto"/>
        <w:ind w:left="357"/>
        <w:jc w:val="both"/>
        <w:rPr>
          <w:rFonts w:ascii="Garamond" w:eastAsia="Times New Roman" w:hAnsi="Garamond"/>
          <w:bCs/>
          <w:color w:val="FF0000"/>
          <w:lang w:val="en-US" w:eastAsia="en-GB"/>
        </w:rPr>
      </w:pPr>
    </w:p>
    <w:p w:rsidR="000B2BC5" w:rsidRPr="00272724" w:rsidRDefault="000B2BC5" w:rsidP="000B2BC5">
      <w:pPr>
        <w:numPr>
          <w:ilvl w:val="0"/>
          <w:numId w:val="16"/>
        </w:numPr>
        <w:spacing w:line="276" w:lineRule="auto"/>
        <w:contextualSpacing/>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In most of the analyzed markets</w:t>
      </w:r>
      <w:r w:rsidRPr="00272724">
        <w:rPr>
          <w:rFonts w:ascii="Palatino Linotype" w:eastAsia="Times New Roman" w:hAnsi="Palatino Linotype"/>
          <w:bCs/>
          <w:sz w:val="22"/>
          <w:szCs w:val="22"/>
          <w:vertAlign w:val="superscript"/>
          <w:lang w:val="en-US" w:eastAsia="en-GB"/>
        </w:rPr>
        <w:footnoteReference w:id="4"/>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an</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increase</w:t>
      </w:r>
      <w:r w:rsidRPr="00272724">
        <w:rPr>
          <w:rFonts w:ascii="Palatino Linotype" w:eastAsia="Times New Roman" w:hAnsi="Palatino Linotype"/>
          <w:bCs/>
          <w:sz w:val="22"/>
          <w:szCs w:val="22"/>
          <w:lang w:val="en-US" w:eastAsia="en-GB"/>
        </w:rPr>
        <w:t xml:space="preserve"> was observed in indices during </w:t>
      </w:r>
      <w:r>
        <w:rPr>
          <w:rFonts w:ascii="Palatino Linotype" w:eastAsia="Times New Roman" w:hAnsi="Palatino Linotype"/>
          <w:bCs/>
          <w:sz w:val="22"/>
          <w:szCs w:val="22"/>
          <w:lang w:val="en-US" w:eastAsia="en-GB"/>
        </w:rPr>
        <w:t>December</w:t>
      </w:r>
      <w:r w:rsidRPr="00272724">
        <w:rPr>
          <w:rFonts w:ascii="Palatino Linotype" w:eastAsia="Times New Roman" w:hAnsi="Palatino Linotype"/>
          <w:bCs/>
          <w:sz w:val="22"/>
          <w:szCs w:val="22"/>
          <w:lang w:val="en-US" w:eastAsia="en-GB"/>
        </w:rPr>
        <w:t xml:space="preserve"> 2020</w:t>
      </w:r>
      <w:r>
        <w:rPr>
          <w:rFonts w:ascii="Palatino Linotype" w:eastAsia="Times New Roman" w:hAnsi="Palatino Linotype"/>
          <w:bCs/>
          <w:sz w:val="22"/>
          <w:szCs w:val="22"/>
          <w:lang w:val="en-US" w:eastAsia="en-GB"/>
        </w:rPr>
        <w:t xml:space="preserve"> over the previous month</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Amongst</w:t>
      </w:r>
      <w:r w:rsidRPr="00272724">
        <w:rPr>
          <w:rFonts w:ascii="Palatino Linotype" w:eastAsia="Times New Roman" w:hAnsi="Palatino Linotype"/>
          <w:bCs/>
          <w:sz w:val="22"/>
          <w:szCs w:val="22"/>
          <w:lang w:val="en-US" w:eastAsia="en-GB"/>
        </w:rPr>
        <w:t xml:space="preserve"> BRICS nations</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an increase was observed in Russia Traded (</w:t>
      </w:r>
      <w:r w:rsidRPr="00D15202">
        <w:rPr>
          <w:rFonts w:ascii="Palatino Linotype" w:eastAsia="Times New Roman" w:hAnsi="Palatino Linotype"/>
          <w:bCs/>
          <w:sz w:val="22"/>
          <w:szCs w:val="22"/>
          <w:lang w:val="en-US" w:eastAsia="en-GB"/>
        </w:rPr>
        <w:t>10.4</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followed by</w:t>
      </w:r>
      <w:r w:rsidRPr="002D5772">
        <w:rPr>
          <w:rFonts w:ascii="Palatino Linotype" w:eastAsia="Times New Roman" w:hAnsi="Palatino Linotype"/>
          <w:bCs/>
          <w:sz w:val="22"/>
          <w:szCs w:val="22"/>
          <w:lang w:val="en-US" w:eastAsia="en-GB"/>
        </w:rPr>
        <w:t xml:space="preserve"> BRAZIL IBOVESPA </w:t>
      </w:r>
      <w:r w:rsidRPr="00272724">
        <w:rPr>
          <w:rFonts w:ascii="Palatino Linotype" w:eastAsia="Times New Roman" w:hAnsi="Palatino Linotype"/>
          <w:bCs/>
          <w:sz w:val="22"/>
          <w:szCs w:val="22"/>
          <w:lang w:val="en-US" w:eastAsia="en-GB"/>
        </w:rPr>
        <w:t>(</w:t>
      </w:r>
      <w:r w:rsidRPr="00D15202">
        <w:rPr>
          <w:rFonts w:ascii="Palatino Linotype" w:eastAsia="Times New Roman" w:hAnsi="Palatino Linotype"/>
          <w:bCs/>
          <w:sz w:val="22"/>
          <w:szCs w:val="22"/>
          <w:lang w:val="en-US" w:eastAsia="en-GB"/>
        </w:rPr>
        <w:t>9.3</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India (</w:t>
      </w:r>
      <w:r>
        <w:rPr>
          <w:rFonts w:ascii="Palatino Linotype" w:eastAsia="Times New Roman" w:hAnsi="Palatino Linotype"/>
          <w:bCs/>
          <w:sz w:val="22"/>
          <w:szCs w:val="22"/>
          <w:lang w:val="en-US" w:eastAsia="en-GB"/>
        </w:rPr>
        <w:t>India (S&amp;P BSE SENSEX:</w:t>
      </w:r>
      <w:r w:rsidRPr="00D82FC4">
        <w:rPr>
          <w:rFonts w:ascii="Palatino Linotype" w:eastAsia="Times New Roman" w:hAnsi="Palatino Linotype"/>
          <w:bCs/>
          <w:sz w:val="22"/>
          <w:szCs w:val="22"/>
          <w:lang w:val="en-US" w:eastAsia="en-GB"/>
        </w:rPr>
        <w:t xml:space="preserve"> </w:t>
      </w:r>
      <w:r w:rsidRPr="00CD03A2">
        <w:rPr>
          <w:rFonts w:ascii="Palatino Linotype" w:eastAsia="Times New Roman" w:hAnsi="Palatino Linotype"/>
          <w:bCs/>
          <w:sz w:val="22"/>
          <w:szCs w:val="22"/>
          <w:lang w:val="en-US" w:eastAsia="en-GB"/>
        </w:rPr>
        <w:t>8.2</w:t>
      </w:r>
      <w:r>
        <w:rPr>
          <w:rFonts w:ascii="Palatino Linotype" w:eastAsia="Times New Roman" w:hAnsi="Palatino Linotype"/>
          <w:bCs/>
          <w:sz w:val="22"/>
          <w:szCs w:val="22"/>
          <w:lang w:val="en-US" w:eastAsia="en-GB"/>
        </w:rPr>
        <w:t xml:space="preserve"> per cent and Nifty 50:</w:t>
      </w:r>
      <w:r w:rsidRPr="00D82FC4">
        <w:rPr>
          <w:rFonts w:ascii="Palatino Linotype" w:eastAsia="Times New Roman" w:hAnsi="Palatino Linotype"/>
          <w:bCs/>
          <w:sz w:val="22"/>
          <w:szCs w:val="22"/>
          <w:lang w:val="en-US" w:eastAsia="en-GB"/>
        </w:rPr>
        <w:t xml:space="preserve"> </w:t>
      </w:r>
      <w:r w:rsidRPr="00CD03A2">
        <w:rPr>
          <w:rFonts w:ascii="Palatino Linotype" w:eastAsia="Times New Roman" w:hAnsi="Palatino Linotype"/>
          <w:bCs/>
          <w:sz w:val="22"/>
          <w:szCs w:val="22"/>
          <w:lang w:val="en-US" w:eastAsia="en-GB"/>
        </w:rPr>
        <w:t>7.8</w:t>
      </w:r>
      <w:r w:rsidRPr="00D82FC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The </w:t>
      </w:r>
      <w:r>
        <w:rPr>
          <w:rFonts w:ascii="Palatino Linotype" w:eastAsia="Times New Roman" w:hAnsi="Palatino Linotype"/>
          <w:bCs/>
          <w:sz w:val="22"/>
          <w:szCs w:val="22"/>
          <w:lang w:val="en-US" w:eastAsia="en-GB"/>
        </w:rPr>
        <w:t>lowest</w:t>
      </w:r>
      <w:r w:rsidRPr="00272724">
        <w:rPr>
          <w:rFonts w:ascii="Palatino Linotype" w:eastAsia="Times New Roman" w:hAnsi="Palatino Linotype"/>
          <w:bCs/>
          <w:sz w:val="22"/>
          <w:szCs w:val="22"/>
          <w:lang w:val="en-US" w:eastAsia="en-GB"/>
        </w:rPr>
        <w:t xml:space="preserve"> monthly </w:t>
      </w:r>
      <w:r>
        <w:rPr>
          <w:rFonts w:ascii="Palatino Linotype" w:eastAsia="Times New Roman" w:hAnsi="Palatino Linotype"/>
          <w:bCs/>
          <w:sz w:val="22"/>
          <w:szCs w:val="22"/>
          <w:lang w:val="en-US" w:eastAsia="en-GB"/>
        </w:rPr>
        <w:t>increase</w:t>
      </w:r>
      <w:r w:rsidRPr="00272724">
        <w:rPr>
          <w:rFonts w:ascii="Palatino Linotype" w:eastAsia="Times New Roman" w:hAnsi="Palatino Linotype"/>
          <w:bCs/>
          <w:sz w:val="22"/>
          <w:szCs w:val="22"/>
          <w:lang w:val="en-US" w:eastAsia="en-GB"/>
        </w:rPr>
        <w:t xml:space="preserve"> was observed in </w:t>
      </w:r>
      <w:r w:rsidRPr="006B1E4E">
        <w:rPr>
          <w:rFonts w:ascii="Palatino Linotype" w:eastAsia="Times New Roman" w:hAnsi="Palatino Linotype"/>
          <w:bCs/>
          <w:sz w:val="22"/>
          <w:szCs w:val="22"/>
          <w:lang w:val="en-US" w:eastAsia="en-GB"/>
        </w:rPr>
        <w:t>Shanghai SE Composite</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w:t>
      </w:r>
      <w:r w:rsidRPr="00CD03A2">
        <w:rPr>
          <w:rFonts w:ascii="Palatino Linotype" w:eastAsia="Times New Roman" w:hAnsi="Palatino Linotype"/>
          <w:bCs/>
          <w:sz w:val="22"/>
          <w:szCs w:val="22"/>
          <w:lang w:val="en-US" w:eastAsia="en-GB"/>
        </w:rPr>
        <w:t>2.4</w:t>
      </w:r>
      <w:r w:rsidRPr="00272724">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followed by South Africa FTSE (</w:t>
      </w:r>
      <w:r w:rsidRPr="00CD03A2">
        <w:rPr>
          <w:rFonts w:ascii="Palatino Linotype" w:eastAsia="Times New Roman" w:hAnsi="Palatino Linotype"/>
          <w:bCs/>
          <w:sz w:val="22"/>
          <w:szCs w:val="22"/>
          <w:lang w:val="en-US" w:eastAsia="en-GB"/>
        </w:rPr>
        <w:t>4.1</w:t>
      </w:r>
      <w:r w:rsidRPr="00272724">
        <w:rPr>
          <w:rFonts w:ascii="Palatino Linotype" w:eastAsia="Times New Roman" w:hAnsi="Palatino Linotype"/>
          <w:bCs/>
          <w:sz w:val="22"/>
          <w:szCs w:val="22"/>
          <w:lang w:val="en-US" w:eastAsia="en-GB"/>
        </w:rPr>
        <w:t xml:space="preserve"> per cent). Among the developed economies, in the month of </w:t>
      </w:r>
      <w:r>
        <w:rPr>
          <w:rFonts w:ascii="Palatino Linotype" w:eastAsia="Times New Roman" w:hAnsi="Palatino Linotype"/>
          <w:bCs/>
          <w:sz w:val="22"/>
          <w:szCs w:val="22"/>
          <w:lang w:val="en-US" w:eastAsia="en-GB"/>
        </w:rPr>
        <w:t>December</w:t>
      </w:r>
      <w:r w:rsidRPr="00272724">
        <w:rPr>
          <w:rFonts w:ascii="Palatino Linotype" w:eastAsia="Times New Roman" w:hAnsi="Palatino Linotype"/>
          <w:bCs/>
          <w:sz w:val="22"/>
          <w:szCs w:val="22"/>
          <w:lang w:val="en-US" w:eastAsia="en-GB"/>
        </w:rPr>
        <w:t xml:space="preserve"> 2020, highest indices growth was observed for </w:t>
      </w:r>
      <w:r>
        <w:rPr>
          <w:rFonts w:ascii="Palatino Linotype" w:eastAsia="Times New Roman" w:hAnsi="Palatino Linotype"/>
          <w:bCs/>
          <w:sz w:val="22"/>
          <w:szCs w:val="22"/>
          <w:lang w:val="en-US" w:eastAsia="en-GB"/>
        </w:rPr>
        <w:t xml:space="preserve">South Korea </w:t>
      </w:r>
      <w:r w:rsidRPr="00BF7E52">
        <w:rPr>
          <w:rFonts w:ascii="Palatino Linotype" w:eastAsia="Times New Roman" w:hAnsi="Palatino Linotype"/>
          <w:bCs/>
          <w:sz w:val="22"/>
          <w:szCs w:val="22"/>
          <w:lang w:val="en-US" w:eastAsia="en-GB"/>
        </w:rPr>
        <w:t>KOSPI</w:t>
      </w:r>
      <w:r w:rsidRPr="00272724">
        <w:rPr>
          <w:rFonts w:ascii="Palatino Linotype" w:eastAsia="Times New Roman" w:hAnsi="Palatino Linotype"/>
          <w:bCs/>
          <w:sz w:val="22"/>
          <w:szCs w:val="22"/>
          <w:lang w:val="en-US" w:eastAsia="en-GB"/>
        </w:rPr>
        <w:t xml:space="preserve"> (</w:t>
      </w:r>
      <w:r w:rsidRPr="00BF7E52">
        <w:rPr>
          <w:rFonts w:ascii="Palatino Linotype" w:eastAsia="Times New Roman" w:hAnsi="Palatino Linotype"/>
          <w:bCs/>
          <w:sz w:val="22"/>
          <w:szCs w:val="22"/>
          <w:lang w:val="en-US" w:eastAsia="en-GB"/>
        </w:rPr>
        <w:t>10.9</w:t>
      </w:r>
      <w:r w:rsidRPr="00272724">
        <w:rPr>
          <w:rFonts w:ascii="Palatino Linotype" w:eastAsia="Times New Roman" w:hAnsi="Palatino Linotype"/>
          <w:bCs/>
          <w:sz w:val="22"/>
          <w:szCs w:val="22"/>
          <w:lang w:val="en-US" w:eastAsia="en-GB"/>
        </w:rPr>
        <w:t xml:space="preserve"> per cent) followed by </w:t>
      </w:r>
      <w:r w:rsidRPr="004C682B">
        <w:rPr>
          <w:rFonts w:ascii="Palatino Linotype" w:eastAsia="Times New Roman" w:hAnsi="Palatino Linotype"/>
          <w:bCs/>
          <w:sz w:val="22"/>
          <w:szCs w:val="22"/>
          <w:lang w:val="en-US" w:eastAsia="en-GB"/>
        </w:rPr>
        <w:t>Taiwan TAIEX</w:t>
      </w:r>
      <w:r w:rsidRPr="00272724">
        <w:rPr>
          <w:rFonts w:ascii="Palatino Linotype" w:eastAsia="Times New Roman" w:hAnsi="Palatino Linotype"/>
          <w:bCs/>
          <w:sz w:val="22"/>
          <w:szCs w:val="22"/>
          <w:lang w:val="en-US" w:eastAsia="en-GB"/>
        </w:rPr>
        <w:t xml:space="preserve"> (</w:t>
      </w:r>
      <w:r w:rsidRPr="004C682B">
        <w:rPr>
          <w:rFonts w:ascii="Palatino Linotype" w:eastAsia="Times New Roman" w:hAnsi="Palatino Linotype"/>
          <w:bCs/>
          <w:sz w:val="22"/>
          <w:szCs w:val="22"/>
          <w:lang w:val="en-US" w:eastAsia="en-GB"/>
        </w:rPr>
        <w:t>7.4</w:t>
      </w:r>
      <w:r w:rsidRPr="00272724">
        <w:rPr>
          <w:rFonts w:ascii="Palatino Linotype" w:eastAsia="Times New Roman" w:hAnsi="Palatino Linotype"/>
          <w:bCs/>
          <w:sz w:val="22"/>
          <w:szCs w:val="22"/>
          <w:lang w:val="en-US" w:eastAsia="en-GB"/>
        </w:rPr>
        <w:t xml:space="preserve"> per cent). </w:t>
      </w:r>
      <w:r>
        <w:rPr>
          <w:rFonts w:ascii="Palatino Linotype" w:eastAsia="Times New Roman" w:hAnsi="Palatino Linotype"/>
          <w:bCs/>
          <w:sz w:val="22"/>
          <w:szCs w:val="22"/>
          <w:lang w:val="en-US" w:eastAsia="en-GB"/>
        </w:rPr>
        <w:t xml:space="preserve">Lowest </w:t>
      </w:r>
      <w:r w:rsidRPr="00272724">
        <w:rPr>
          <w:rFonts w:ascii="Palatino Linotype" w:eastAsia="Times New Roman" w:hAnsi="Palatino Linotype"/>
          <w:bCs/>
          <w:sz w:val="22"/>
          <w:szCs w:val="22"/>
          <w:lang w:val="en-US" w:eastAsia="en-GB"/>
        </w:rPr>
        <w:t xml:space="preserve">monthly growth was observed in </w:t>
      </w:r>
      <w:r>
        <w:rPr>
          <w:rFonts w:ascii="Palatino Linotype" w:eastAsia="Times New Roman" w:hAnsi="Palatino Linotype"/>
          <w:bCs/>
          <w:sz w:val="22"/>
          <w:szCs w:val="22"/>
          <w:lang w:val="en-US" w:eastAsia="en-GB"/>
        </w:rPr>
        <w:t>France CAC 40</w:t>
      </w:r>
      <w:r w:rsidRPr="005B50D3">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0.6</w:t>
      </w:r>
      <w:r w:rsidRPr="00272724">
        <w:rPr>
          <w:rFonts w:ascii="Palatino Linotype" w:eastAsia="Times New Roman" w:hAnsi="Palatino Linotype"/>
          <w:bCs/>
          <w:sz w:val="22"/>
          <w:szCs w:val="22"/>
          <w:lang w:val="en-US" w:eastAsia="en-GB"/>
        </w:rPr>
        <w:t xml:space="preserve"> per cent) followed by </w:t>
      </w:r>
      <w:r>
        <w:rPr>
          <w:rFonts w:ascii="Palatino Linotype" w:eastAsia="Times New Roman" w:hAnsi="Palatino Linotype"/>
          <w:bCs/>
          <w:sz w:val="22"/>
          <w:szCs w:val="22"/>
          <w:lang w:val="en-US" w:eastAsia="en-GB"/>
        </w:rPr>
        <w:t xml:space="preserve">Singapore </w:t>
      </w:r>
      <w:r w:rsidRPr="000A081B">
        <w:rPr>
          <w:rFonts w:ascii="Palatino Linotype" w:eastAsia="Times New Roman" w:hAnsi="Palatino Linotype"/>
          <w:bCs/>
          <w:sz w:val="22"/>
          <w:szCs w:val="22"/>
          <w:lang w:val="en-US" w:eastAsia="en-GB"/>
        </w:rPr>
        <w:t>STI</w:t>
      </w:r>
      <w:r w:rsidRPr="00874ED7">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w:t>
      </w:r>
      <w:r w:rsidRPr="000A081B">
        <w:rPr>
          <w:rFonts w:ascii="Palatino Linotype" w:eastAsia="Times New Roman" w:hAnsi="Palatino Linotype"/>
          <w:bCs/>
          <w:sz w:val="22"/>
          <w:szCs w:val="22"/>
          <w:lang w:val="en-US" w:eastAsia="en-GB"/>
        </w:rPr>
        <w:t>1.3</w:t>
      </w:r>
      <w:r>
        <w:rPr>
          <w:rFonts w:ascii="Palatino Linotype" w:eastAsia="Times New Roman" w:hAnsi="Palatino Linotype"/>
          <w:bCs/>
          <w:sz w:val="22"/>
          <w:szCs w:val="22"/>
          <w:lang w:val="en-US" w:eastAsia="en-GB"/>
        </w:rPr>
        <w:t xml:space="preserve"> per cent) and</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UK FTSE 100</w:t>
      </w:r>
      <w:r w:rsidRPr="00272724">
        <w:rPr>
          <w:rFonts w:ascii="Palatino Linotype" w:eastAsia="Times New Roman" w:hAnsi="Palatino Linotype"/>
          <w:bCs/>
          <w:sz w:val="22"/>
          <w:szCs w:val="22"/>
          <w:lang w:val="en-US" w:eastAsia="en-GB"/>
        </w:rPr>
        <w:t xml:space="preserve"> (</w:t>
      </w:r>
      <w:r w:rsidRPr="00D654D0">
        <w:rPr>
          <w:rFonts w:ascii="Palatino Linotype" w:eastAsia="Times New Roman" w:hAnsi="Palatino Linotype"/>
          <w:bCs/>
          <w:sz w:val="22"/>
          <w:szCs w:val="22"/>
          <w:lang w:val="en-US" w:eastAsia="en-GB"/>
        </w:rPr>
        <w:t>3.1</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per cent). Growth for</w:t>
      </w:r>
      <w:r>
        <w:rPr>
          <w:rFonts w:ascii="Palatino Linotype" w:eastAsia="Times New Roman" w:hAnsi="Palatino Linotype"/>
          <w:bCs/>
          <w:sz w:val="22"/>
          <w:szCs w:val="22"/>
          <w:lang w:val="en-US" w:eastAsia="en-GB"/>
        </w:rPr>
        <w:t xml:space="preserve"> </w:t>
      </w:r>
      <w:r w:rsidRPr="001B2443">
        <w:rPr>
          <w:rFonts w:ascii="Palatino Linotype" w:eastAsia="Times New Roman" w:hAnsi="Palatino Linotype"/>
          <w:bCs/>
          <w:sz w:val="22"/>
          <w:szCs w:val="22"/>
          <w:lang w:val="en-US" w:eastAsia="en-GB"/>
        </w:rPr>
        <w:t xml:space="preserve">Nasdaq </w:t>
      </w:r>
      <w:r>
        <w:rPr>
          <w:rFonts w:ascii="Palatino Linotype" w:eastAsia="Times New Roman" w:hAnsi="Palatino Linotype"/>
          <w:bCs/>
          <w:sz w:val="22"/>
          <w:szCs w:val="22"/>
          <w:lang w:val="en-US" w:eastAsia="en-GB"/>
        </w:rPr>
        <w:t xml:space="preserve">COMPOSITE, </w:t>
      </w:r>
      <w:r w:rsidRPr="001B2443">
        <w:rPr>
          <w:rFonts w:ascii="Palatino Linotype" w:eastAsia="Times New Roman" w:hAnsi="Palatino Linotype"/>
          <w:bCs/>
          <w:sz w:val="22"/>
          <w:szCs w:val="22"/>
          <w:lang w:val="en-US" w:eastAsia="en-GB"/>
        </w:rPr>
        <w:t>Dow Jones Indus. Avg</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Japan Nikkei</w:t>
      </w:r>
      <w:r w:rsidRPr="00F52AB0">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and </w:t>
      </w:r>
      <w:r>
        <w:rPr>
          <w:rFonts w:ascii="Palatino Linotype" w:eastAsia="Times New Roman" w:hAnsi="Palatino Linotype"/>
          <w:bCs/>
          <w:sz w:val="22"/>
          <w:szCs w:val="22"/>
          <w:lang w:val="en-US" w:eastAsia="en-GB"/>
        </w:rPr>
        <w:t>Germany DAX</w:t>
      </w:r>
      <w:r w:rsidRPr="00272724">
        <w:rPr>
          <w:rFonts w:ascii="Palatino Linotype" w:eastAsia="Times New Roman" w:hAnsi="Palatino Linotype"/>
          <w:bCs/>
          <w:sz w:val="22"/>
          <w:szCs w:val="22"/>
          <w:lang w:val="en-US" w:eastAsia="en-GB"/>
        </w:rPr>
        <w:t xml:space="preserve"> was </w:t>
      </w:r>
      <w:r w:rsidRPr="001B2443">
        <w:rPr>
          <w:rFonts w:ascii="Palatino Linotype" w:eastAsia="Times New Roman" w:hAnsi="Palatino Linotype"/>
          <w:bCs/>
          <w:sz w:val="22"/>
          <w:szCs w:val="22"/>
          <w:lang w:val="en-US" w:eastAsia="en-GB"/>
        </w:rPr>
        <w:t>5.7</w:t>
      </w:r>
      <w:r>
        <w:rPr>
          <w:rFonts w:ascii="Palatino Linotype" w:eastAsia="Times New Roman" w:hAnsi="Palatino Linotype"/>
          <w:bCs/>
          <w:sz w:val="22"/>
          <w:szCs w:val="22"/>
          <w:lang w:val="en-US" w:eastAsia="en-GB"/>
        </w:rPr>
        <w:t xml:space="preserve">, </w:t>
      </w:r>
      <w:r w:rsidRPr="001B2443">
        <w:rPr>
          <w:rFonts w:ascii="Palatino Linotype" w:eastAsia="Times New Roman" w:hAnsi="Palatino Linotype"/>
          <w:bCs/>
          <w:sz w:val="22"/>
          <w:szCs w:val="22"/>
          <w:lang w:val="en-US" w:eastAsia="en-GB"/>
        </w:rPr>
        <w:t>3.3</w:t>
      </w:r>
      <w:r>
        <w:rPr>
          <w:rFonts w:ascii="Palatino Linotype" w:eastAsia="Times New Roman" w:hAnsi="Palatino Linotype"/>
          <w:bCs/>
          <w:sz w:val="22"/>
          <w:szCs w:val="22"/>
          <w:lang w:val="en-US" w:eastAsia="en-GB"/>
        </w:rPr>
        <w:t xml:space="preserve">, </w:t>
      </w:r>
      <w:r w:rsidRPr="0004735E">
        <w:rPr>
          <w:rFonts w:ascii="Palatino Linotype" w:eastAsia="Times New Roman" w:hAnsi="Palatino Linotype"/>
          <w:bCs/>
          <w:sz w:val="22"/>
          <w:szCs w:val="22"/>
          <w:lang w:val="en-US" w:eastAsia="en-GB"/>
        </w:rPr>
        <w:t>3.8</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and </w:t>
      </w:r>
      <w:r w:rsidRPr="0004735E">
        <w:rPr>
          <w:rFonts w:ascii="Palatino Linotype" w:eastAsia="Times New Roman" w:hAnsi="Palatino Linotype"/>
          <w:bCs/>
          <w:sz w:val="22"/>
          <w:szCs w:val="22"/>
          <w:lang w:val="en-US" w:eastAsia="en-GB"/>
        </w:rPr>
        <w:t>3.2</w:t>
      </w:r>
      <w:r w:rsidRPr="00272724">
        <w:rPr>
          <w:rFonts w:ascii="Palatino Linotype" w:eastAsia="Times New Roman" w:hAnsi="Palatino Linotype"/>
          <w:bCs/>
          <w:sz w:val="22"/>
          <w:szCs w:val="22"/>
          <w:lang w:val="en-US" w:eastAsia="en-GB"/>
        </w:rPr>
        <w:t xml:space="preserve"> per cent respectively. </w:t>
      </w:r>
    </w:p>
    <w:p w:rsidR="000B2BC5" w:rsidRPr="00272724" w:rsidRDefault="000B2BC5" w:rsidP="000B2BC5">
      <w:pPr>
        <w:spacing w:line="276" w:lineRule="auto"/>
        <w:jc w:val="both"/>
        <w:rPr>
          <w:rFonts w:ascii="Palatino Linotype" w:eastAsia="Times New Roman" w:hAnsi="Palatino Linotype"/>
          <w:bCs/>
          <w:sz w:val="22"/>
          <w:szCs w:val="22"/>
          <w:lang w:eastAsia="en-GB"/>
        </w:rPr>
      </w:pPr>
    </w:p>
    <w:p w:rsidR="000B2BC5" w:rsidRPr="00272724" w:rsidRDefault="000B2BC5" w:rsidP="000B2BC5">
      <w:pPr>
        <w:rPr>
          <w:rFonts w:ascii="Garamond" w:hAnsi="Garamond"/>
          <w:b/>
          <w:bCs/>
          <w:noProof/>
          <w:lang w:val="en-US"/>
        </w:rPr>
      </w:pPr>
      <w:r w:rsidRPr="00272724">
        <w:rPr>
          <w:rFonts w:ascii="Garamond" w:hAnsi="Garamond"/>
          <w:b/>
          <w:bCs/>
          <w:noProof/>
          <w:lang w:val="en-US"/>
        </w:rPr>
        <w:br w:type="page"/>
      </w:r>
    </w:p>
    <w:p w:rsidR="000B2BC5" w:rsidRPr="00272724" w:rsidRDefault="000B2BC5" w:rsidP="000B2BC5">
      <w:pPr>
        <w:spacing w:line="23" w:lineRule="atLeast"/>
        <w:jc w:val="both"/>
        <w:outlineLvl w:val="0"/>
        <w:rPr>
          <w:rFonts w:ascii="Garamond" w:hAnsi="Garamond"/>
          <w:b/>
          <w:bCs/>
          <w:szCs w:val="22"/>
        </w:rPr>
      </w:pPr>
      <w:r w:rsidRPr="00272724">
        <w:rPr>
          <w:rFonts w:ascii="Garamond" w:hAnsi="Garamond"/>
          <w:b/>
          <w:bCs/>
          <w:noProof/>
          <w:lang w:val="en-US"/>
        </w:rPr>
        <w:t>Figure</w:t>
      </w:r>
      <w:r w:rsidRPr="00272724">
        <w:rPr>
          <w:rFonts w:ascii="Garamond" w:hAnsi="Garamond"/>
          <w:b/>
          <w:bCs/>
          <w:szCs w:val="22"/>
        </w:rPr>
        <w:t xml:space="preserve"> 1: Stock Market Trends in Selected Developed Markets</w:t>
      </w:r>
    </w:p>
    <w:p w:rsidR="000B2BC5" w:rsidRPr="00272724" w:rsidRDefault="000B2BC5" w:rsidP="000B2BC5">
      <w:pPr>
        <w:spacing w:line="23" w:lineRule="atLeast"/>
        <w:jc w:val="both"/>
        <w:outlineLvl w:val="0"/>
        <w:rPr>
          <w:rFonts w:ascii="Garamond" w:hAnsi="Garamond"/>
          <w:bCs/>
          <w:sz w:val="22"/>
          <w:szCs w:val="22"/>
        </w:rPr>
      </w:pPr>
    </w:p>
    <w:p w:rsidR="000B2BC5" w:rsidRPr="00272724" w:rsidRDefault="000B2BC5" w:rsidP="000B2BC5">
      <w:pPr>
        <w:spacing w:line="23" w:lineRule="atLeast"/>
        <w:jc w:val="both"/>
        <w:outlineLvl w:val="0"/>
        <w:rPr>
          <w:rFonts w:ascii="Garamond" w:hAnsi="Garamond"/>
          <w:bCs/>
          <w:sz w:val="18"/>
          <w:szCs w:val="18"/>
        </w:rPr>
      </w:pPr>
      <w:r w:rsidRPr="00415B9F">
        <w:rPr>
          <w:rFonts w:ascii="Garamond" w:hAnsi="Garamond"/>
          <w:bCs/>
          <w:noProof/>
          <w:sz w:val="18"/>
          <w:szCs w:val="18"/>
          <w:lang w:val="en-IN" w:eastAsia="en-IN" w:bidi="hi-IN"/>
        </w:rPr>
        <w:drawing>
          <wp:inline distT="0" distB="0" distL="0" distR="0">
            <wp:extent cx="6057900" cy="3790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3790950"/>
                    </a:xfrm>
                    <a:prstGeom prst="rect">
                      <a:avLst/>
                    </a:prstGeom>
                    <a:noFill/>
                    <a:ln>
                      <a:noFill/>
                    </a:ln>
                  </pic:spPr>
                </pic:pic>
              </a:graphicData>
            </a:graphic>
          </wp:inline>
        </w:drawing>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 xml:space="preserve">Note: All indices have been normalised to 100 on </w:t>
      </w:r>
      <w:r w:rsidRPr="00EE0B11">
        <w:rPr>
          <w:rFonts w:ascii="Garamond" w:hAnsi="Garamond"/>
          <w:bCs/>
          <w:sz w:val="18"/>
          <w:szCs w:val="18"/>
        </w:rPr>
        <w:t>31 December 2019</w:t>
      </w:r>
      <w:r w:rsidRPr="00272724">
        <w:rPr>
          <w:rFonts w:ascii="Garamond" w:hAnsi="Garamond"/>
          <w:bCs/>
          <w:sz w:val="18"/>
          <w:szCs w:val="18"/>
        </w:rPr>
        <w:t>.</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0B2BC5" w:rsidRPr="00272724" w:rsidRDefault="000B2BC5" w:rsidP="000B2BC5">
      <w:pPr>
        <w:spacing w:line="23" w:lineRule="atLeast"/>
        <w:rPr>
          <w:rFonts w:ascii="Garamond" w:hAnsi="Garamond"/>
          <w:bCs/>
          <w:sz w:val="22"/>
          <w:szCs w:val="22"/>
        </w:rPr>
      </w:pPr>
    </w:p>
    <w:p w:rsidR="000B2BC5" w:rsidRPr="00272724" w:rsidRDefault="000B2BC5" w:rsidP="000B2BC5">
      <w:pPr>
        <w:spacing w:line="23" w:lineRule="atLeast"/>
        <w:rPr>
          <w:rFonts w:ascii="Garamond" w:hAnsi="Garamond"/>
          <w:b/>
          <w:bCs/>
          <w:szCs w:val="22"/>
        </w:rPr>
      </w:pPr>
    </w:p>
    <w:p w:rsidR="000B2BC5" w:rsidRPr="00272724" w:rsidRDefault="000B2BC5" w:rsidP="000B2BC5">
      <w:pPr>
        <w:spacing w:line="23" w:lineRule="atLeast"/>
        <w:rPr>
          <w:rFonts w:ascii="Garamond" w:hAnsi="Garamond"/>
          <w:b/>
          <w:bCs/>
          <w:szCs w:val="22"/>
        </w:rPr>
      </w:pPr>
      <w:r w:rsidRPr="00272724">
        <w:rPr>
          <w:rFonts w:ascii="Garamond" w:hAnsi="Garamond"/>
          <w:b/>
          <w:bCs/>
          <w:szCs w:val="22"/>
        </w:rPr>
        <w:t>Figure 2: Stock Market Trends in Selected Emerging Markets</w:t>
      </w:r>
    </w:p>
    <w:p w:rsidR="000B2BC5" w:rsidRPr="00272724" w:rsidRDefault="000B2BC5" w:rsidP="000B2BC5">
      <w:pPr>
        <w:spacing w:line="23" w:lineRule="atLeast"/>
        <w:rPr>
          <w:rFonts w:ascii="Garamond" w:hAnsi="Garamond"/>
          <w:bCs/>
          <w:sz w:val="22"/>
          <w:szCs w:val="22"/>
        </w:rPr>
      </w:pPr>
      <w:r w:rsidRPr="00415B9F">
        <w:rPr>
          <w:rFonts w:ascii="Garamond" w:hAnsi="Garamond"/>
          <w:bCs/>
          <w:noProof/>
          <w:sz w:val="22"/>
          <w:szCs w:val="22"/>
          <w:lang w:val="en-IN" w:eastAsia="en-IN" w:bidi="hi-IN"/>
        </w:rPr>
        <w:drawing>
          <wp:inline distT="0" distB="0" distL="0" distR="0">
            <wp:extent cx="5981700" cy="3743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3743325"/>
                    </a:xfrm>
                    <a:prstGeom prst="rect">
                      <a:avLst/>
                    </a:prstGeom>
                    <a:noFill/>
                    <a:ln>
                      <a:noFill/>
                    </a:ln>
                  </pic:spPr>
                </pic:pic>
              </a:graphicData>
            </a:graphic>
          </wp:inline>
        </w:drawing>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 xml:space="preserve">Note: All indices have been normalised to 100 on </w:t>
      </w:r>
      <w:r w:rsidRPr="00EE0B11">
        <w:rPr>
          <w:rFonts w:ascii="Garamond" w:hAnsi="Garamond"/>
          <w:bCs/>
          <w:sz w:val="18"/>
          <w:szCs w:val="18"/>
        </w:rPr>
        <w:t>31 December 2019</w:t>
      </w:r>
      <w:r w:rsidRPr="00272724">
        <w:rPr>
          <w:rFonts w:ascii="Garamond" w:hAnsi="Garamond"/>
          <w:bCs/>
          <w:sz w:val="18"/>
          <w:szCs w:val="18"/>
        </w:rPr>
        <w:t>.</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0B2BC5" w:rsidRPr="00272724" w:rsidRDefault="000B2BC5" w:rsidP="000B2BC5">
      <w:pPr>
        <w:spacing w:line="23" w:lineRule="atLeast"/>
        <w:ind w:left="360"/>
        <w:contextualSpacing/>
        <w:jc w:val="both"/>
        <w:rPr>
          <w:rFonts w:ascii="Garamond" w:hAnsi="Garamond"/>
          <w:bCs/>
          <w:strike/>
          <w:sz w:val="22"/>
          <w:szCs w:val="22"/>
          <w:lang w:val="en-US"/>
        </w:rPr>
      </w:pPr>
    </w:p>
    <w:p w:rsidR="000B2BC5" w:rsidRPr="00272724" w:rsidRDefault="000B2BC5" w:rsidP="000B2BC5">
      <w:pPr>
        <w:rPr>
          <w:rFonts w:ascii="Garamond" w:eastAsia="Times New Roman" w:hAnsi="Garamond"/>
          <w:b/>
          <w:szCs w:val="22"/>
          <w:u w:val="single"/>
          <w:lang w:val="en-US" w:eastAsia="en-GB"/>
        </w:rPr>
      </w:pPr>
      <w:r w:rsidRPr="00272724">
        <w:rPr>
          <w:rFonts w:ascii="Garamond" w:eastAsia="Times New Roman" w:hAnsi="Garamond"/>
          <w:b/>
          <w:szCs w:val="22"/>
          <w:u w:val="single"/>
          <w:lang w:val="en-US" w:eastAsia="en-GB"/>
        </w:rPr>
        <w:br w:type="page"/>
      </w:r>
    </w:p>
    <w:p w:rsidR="000B2BC5" w:rsidRPr="00272724" w:rsidRDefault="000B2BC5" w:rsidP="000B2BC5">
      <w:pPr>
        <w:spacing w:line="360" w:lineRule="auto"/>
        <w:ind w:left="720"/>
        <w:contextualSpacing/>
        <w:rPr>
          <w:rFonts w:ascii="Garamond" w:eastAsia="Times New Roman" w:hAnsi="Garamond"/>
          <w:b/>
          <w:szCs w:val="22"/>
          <w:u w:val="single"/>
          <w:lang w:val="en-US" w:eastAsia="en-GB"/>
        </w:rPr>
      </w:pPr>
    </w:p>
    <w:p w:rsidR="000B2BC5" w:rsidRPr="00272724" w:rsidRDefault="000B2BC5" w:rsidP="000B2BC5">
      <w:pPr>
        <w:spacing w:line="276" w:lineRule="auto"/>
        <w:ind w:left="720"/>
        <w:contextualSpacing/>
        <w:rPr>
          <w:rFonts w:ascii="Garamond" w:hAnsi="Garamond"/>
          <w:bCs/>
          <w:strike/>
          <w:sz w:val="22"/>
          <w:szCs w:val="22"/>
          <w:lang w:val="en-US"/>
        </w:rPr>
      </w:pPr>
      <w:r w:rsidRPr="00272724">
        <w:rPr>
          <w:rFonts w:ascii="Garamond" w:eastAsia="Times New Roman" w:hAnsi="Garamond"/>
          <w:b/>
          <w:sz w:val="22"/>
          <w:szCs w:val="22"/>
          <w:u w:val="single"/>
          <w:lang w:val="en-US" w:eastAsia="en-GB"/>
        </w:rPr>
        <w:t>BOND Market (Figures 3-4)</w:t>
      </w:r>
    </w:p>
    <w:p w:rsidR="000B2BC5" w:rsidRPr="00272724" w:rsidRDefault="000B2BC5" w:rsidP="000B2BC5">
      <w:pPr>
        <w:numPr>
          <w:ilvl w:val="0"/>
          <w:numId w:val="16"/>
        </w:numPr>
        <w:spacing w:line="276" w:lineRule="auto"/>
        <w:contextualSpacing/>
        <w:jc w:val="both"/>
        <w:rPr>
          <w:rFonts w:ascii="Palatino Linotype" w:hAnsi="Palatino Linotype"/>
          <w:bCs/>
          <w:color w:val="FF0000"/>
          <w:sz w:val="22"/>
          <w:szCs w:val="22"/>
          <w:lang w:val="en-US"/>
        </w:rPr>
      </w:pPr>
      <w:r w:rsidRPr="00272724">
        <w:rPr>
          <w:rFonts w:ascii="Palatino Linotype" w:eastAsia="Times New Roman" w:hAnsi="Palatino Linotype"/>
          <w:bCs/>
          <w:color w:val="000000"/>
          <w:sz w:val="22"/>
          <w:szCs w:val="22"/>
          <w:lang w:val="en-US" w:eastAsia="en-GB"/>
        </w:rPr>
        <w:t>Among the countries analysed</w:t>
      </w:r>
      <w:r w:rsidRPr="00272724">
        <w:rPr>
          <w:rFonts w:ascii="Palatino Linotype" w:eastAsia="Times New Roman" w:hAnsi="Palatino Linotype"/>
          <w:bCs/>
          <w:color w:val="000000"/>
          <w:sz w:val="22"/>
          <w:szCs w:val="22"/>
          <w:vertAlign w:val="superscript"/>
          <w:lang w:val="en-US" w:eastAsia="en-GB"/>
        </w:rPr>
        <w:footnoteReference w:id="5"/>
      </w:r>
      <w:r w:rsidRPr="00272724">
        <w:rPr>
          <w:rFonts w:ascii="Palatino Linotype" w:eastAsia="Times New Roman" w:hAnsi="Palatino Linotype"/>
          <w:bCs/>
          <w:color w:val="000000"/>
          <w:sz w:val="22"/>
          <w:szCs w:val="22"/>
          <w:lang w:val="en-US" w:eastAsia="en-GB"/>
        </w:rPr>
        <w:t xml:space="preserve">, for bond yield, 10-year bond yield showed a </w:t>
      </w:r>
      <w:r>
        <w:rPr>
          <w:rFonts w:ascii="Palatino Linotype" w:eastAsia="Times New Roman" w:hAnsi="Palatino Linotype"/>
          <w:bCs/>
          <w:color w:val="000000"/>
          <w:sz w:val="22"/>
          <w:szCs w:val="22"/>
          <w:lang w:val="en-US" w:eastAsia="en-GB"/>
        </w:rPr>
        <w:t>negative</w:t>
      </w:r>
      <w:r w:rsidRPr="00272724">
        <w:rPr>
          <w:rFonts w:ascii="Palatino Linotype" w:eastAsia="Times New Roman" w:hAnsi="Palatino Linotype"/>
          <w:bCs/>
          <w:color w:val="000000"/>
          <w:sz w:val="22"/>
          <w:szCs w:val="22"/>
          <w:lang w:val="en-US" w:eastAsia="en-GB"/>
        </w:rPr>
        <w:t xml:space="preserve"> change for most developed and developing economies (Chart 3 &amp; 4) except for </w:t>
      </w:r>
      <w:r>
        <w:rPr>
          <w:rFonts w:ascii="Palatino Linotype" w:eastAsia="Times New Roman" w:hAnsi="Palatino Linotype"/>
          <w:bCs/>
          <w:color w:val="000000"/>
          <w:sz w:val="22"/>
          <w:szCs w:val="22"/>
          <w:lang w:val="en-US" w:eastAsia="en-GB"/>
        </w:rPr>
        <w:t xml:space="preserve">US </w:t>
      </w:r>
      <w:r w:rsidRPr="00272724">
        <w:rPr>
          <w:rFonts w:ascii="Palatino Linotype" w:eastAsia="Times New Roman" w:hAnsi="Palatino Linotype"/>
          <w:bCs/>
          <w:color w:val="000000"/>
          <w:sz w:val="22"/>
          <w:szCs w:val="22"/>
          <w:lang w:val="en-US" w:eastAsia="en-GB"/>
        </w:rPr>
        <w:t xml:space="preserve">in </w:t>
      </w:r>
      <w:r>
        <w:rPr>
          <w:rFonts w:ascii="Palatino Linotype" w:eastAsia="Times New Roman" w:hAnsi="Palatino Linotype"/>
          <w:bCs/>
          <w:color w:val="000000"/>
          <w:sz w:val="22"/>
          <w:szCs w:val="22"/>
          <w:lang w:val="en-US" w:eastAsia="en-GB"/>
        </w:rPr>
        <w:t>December</w:t>
      </w:r>
      <w:r w:rsidRPr="00272724">
        <w:rPr>
          <w:rFonts w:ascii="Palatino Linotype" w:eastAsia="Times New Roman" w:hAnsi="Palatino Linotype"/>
          <w:bCs/>
          <w:color w:val="000000"/>
          <w:sz w:val="22"/>
          <w:szCs w:val="22"/>
          <w:lang w:val="en-US" w:eastAsia="en-GB"/>
        </w:rPr>
        <w:t xml:space="preserve"> 2020</w:t>
      </w:r>
      <w:r>
        <w:rPr>
          <w:rFonts w:ascii="Palatino Linotype" w:eastAsia="Times New Roman" w:hAnsi="Palatino Linotype"/>
          <w:bCs/>
          <w:color w:val="000000"/>
          <w:sz w:val="22"/>
          <w:szCs w:val="22"/>
          <w:lang w:val="en-US" w:eastAsia="en-GB"/>
        </w:rPr>
        <w:t>, where it was positive</w:t>
      </w:r>
      <w:r w:rsidRPr="00272724">
        <w:rPr>
          <w:rFonts w:ascii="Palatino Linotype" w:eastAsia="Times New Roman" w:hAnsi="Palatino Linotype"/>
          <w:bCs/>
          <w:color w:val="000000"/>
          <w:sz w:val="22"/>
          <w:szCs w:val="22"/>
          <w:lang w:val="en-US" w:eastAsia="en-GB"/>
        </w:rPr>
        <w:t>.</w:t>
      </w:r>
      <w:r>
        <w:rPr>
          <w:rFonts w:ascii="Palatino Linotype" w:eastAsia="Times New Roman" w:hAnsi="Palatino Linotype"/>
          <w:bCs/>
          <w:color w:val="000000"/>
          <w:sz w:val="22"/>
          <w:szCs w:val="22"/>
          <w:lang w:val="en-US" w:eastAsia="en-GB"/>
        </w:rPr>
        <w:t xml:space="preserve"> There was no change in the bond yield for Germany and Russia over the previous month.</w:t>
      </w:r>
    </w:p>
    <w:p w:rsidR="000B2BC5" w:rsidRPr="00272724" w:rsidRDefault="000B2BC5" w:rsidP="000B2BC5">
      <w:pPr>
        <w:spacing w:line="276" w:lineRule="auto"/>
        <w:ind w:left="360"/>
        <w:contextualSpacing/>
        <w:jc w:val="both"/>
        <w:rPr>
          <w:rFonts w:ascii="Palatino Linotype" w:hAnsi="Palatino Linotype"/>
          <w:bCs/>
          <w:color w:val="FF0000"/>
          <w:sz w:val="22"/>
          <w:szCs w:val="22"/>
          <w:lang w:val="en-US"/>
        </w:rPr>
      </w:pPr>
    </w:p>
    <w:p w:rsidR="000B2BC5" w:rsidRPr="00272724" w:rsidRDefault="000B2BC5" w:rsidP="000B2BC5">
      <w:pPr>
        <w:spacing w:line="23" w:lineRule="atLeast"/>
        <w:rPr>
          <w:rFonts w:ascii="Garamond" w:hAnsi="Garamond"/>
          <w:bCs/>
          <w:strike/>
          <w:sz w:val="22"/>
          <w:szCs w:val="22"/>
        </w:rPr>
      </w:pPr>
    </w:p>
    <w:p w:rsidR="000B2BC5" w:rsidRPr="00272724" w:rsidRDefault="000B2BC5" w:rsidP="000B2BC5">
      <w:pPr>
        <w:rPr>
          <w:rFonts w:ascii="Garamond" w:hAnsi="Garamond"/>
          <w:b/>
          <w:bCs/>
          <w:szCs w:val="22"/>
        </w:rPr>
      </w:pPr>
      <w:r w:rsidRPr="00272724">
        <w:rPr>
          <w:rFonts w:ascii="Garamond" w:hAnsi="Garamond"/>
          <w:b/>
          <w:bCs/>
          <w:szCs w:val="22"/>
        </w:rPr>
        <w:t>Figure 3: Movement of 10-year Government Bond Yields in Developed Nations</w:t>
      </w:r>
    </w:p>
    <w:p w:rsidR="000B2BC5" w:rsidRPr="00272724" w:rsidRDefault="000B2BC5" w:rsidP="000B2BC5">
      <w:pPr>
        <w:rPr>
          <w:rFonts w:ascii="Garamond" w:hAnsi="Garamond"/>
          <w:bCs/>
          <w:sz w:val="22"/>
          <w:szCs w:val="22"/>
        </w:rPr>
      </w:pPr>
    </w:p>
    <w:p w:rsidR="000B2BC5" w:rsidRPr="00272724" w:rsidRDefault="000B2BC5" w:rsidP="000B2BC5">
      <w:pPr>
        <w:spacing w:line="23" w:lineRule="atLeast"/>
        <w:jc w:val="both"/>
        <w:outlineLvl w:val="0"/>
        <w:rPr>
          <w:rFonts w:ascii="Garamond" w:hAnsi="Garamond"/>
          <w:bCs/>
          <w:sz w:val="22"/>
          <w:szCs w:val="22"/>
        </w:rPr>
      </w:pPr>
      <w:r w:rsidRPr="00415B9F">
        <w:rPr>
          <w:noProof/>
          <w:lang w:val="en-IN" w:eastAsia="en-IN" w:bidi="hi-IN"/>
        </w:rPr>
        <w:drawing>
          <wp:inline distT="0" distB="0" distL="0" distR="0">
            <wp:extent cx="6283325" cy="2799715"/>
            <wp:effectExtent l="0" t="0" r="3175" b="635"/>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0B2BC5" w:rsidRPr="00272724" w:rsidRDefault="000B2BC5" w:rsidP="000B2BC5">
      <w:pPr>
        <w:spacing w:line="23" w:lineRule="atLeast"/>
        <w:jc w:val="both"/>
        <w:outlineLvl w:val="0"/>
        <w:rPr>
          <w:rFonts w:ascii="Garamond" w:hAnsi="Garamond"/>
          <w:bCs/>
          <w:sz w:val="22"/>
          <w:szCs w:val="22"/>
        </w:rPr>
      </w:pPr>
    </w:p>
    <w:p w:rsidR="000B2BC5" w:rsidRPr="00272724" w:rsidRDefault="000B2BC5" w:rsidP="000B2BC5">
      <w:pPr>
        <w:rPr>
          <w:rFonts w:ascii="Garamond" w:hAnsi="Garamond"/>
          <w:bCs/>
          <w:strike/>
          <w:sz w:val="22"/>
          <w:szCs w:val="22"/>
        </w:rPr>
      </w:pPr>
    </w:p>
    <w:p w:rsidR="000B2BC5" w:rsidRPr="00272724" w:rsidRDefault="000B2BC5" w:rsidP="000B2BC5">
      <w:pPr>
        <w:spacing w:line="23" w:lineRule="atLeast"/>
        <w:jc w:val="both"/>
        <w:outlineLvl w:val="0"/>
        <w:rPr>
          <w:rFonts w:ascii="Garamond" w:hAnsi="Garamond"/>
          <w:b/>
          <w:bCs/>
          <w:szCs w:val="22"/>
        </w:rPr>
      </w:pPr>
      <w:r w:rsidRPr="00272724">
        <w:rPr>
          <w:rFonts w:ascii="Garamond" w:hAnsi="Garamond"/>
          <w:b/>
          <w:bCs/>
          <w:szCs w:val="22"/>
        </w:rPr>
        <w:t>Figure 4: Movement of 10-year Government Bond Yields in BRIC Nations</w:t>
      </w:r>
    </w:p>
    <w:p w:rsidR="000B2BC5" w:rsidRPr="00272724" w:rsidRDefault="000B2BC5" w:rsidP="000B2BC5">
      <w:pPr>
        <w:spacing w:line="23" w:lineRule="atLeast"/>
        <w:jc w:val="both"/>
        <w:outlineLvl w:val="0"/>
        <w:rPr>
          <w:rFonts w:ascii="Garamond" w:hAnsi="Garamond"/>
          <w:bCs/>
          <w:sz w:val="22"/>
          <w:szCs w:val="22"/>
        </w:rPr>
      </w:pPr>
      <w:r w:rsidRPr="00415B9F">
        <w:rPr>
          <w:noProof/>
          <w:lang w:val="en-IN" w:eastAsia="en-IN" w:bidi="hi-IN"/>
        </w:rPr>
        <w:drawing>
          <wp:inline distT="0" distB="0" distL="0" distR="0">
            <wp:extent cx="6283325" cy="3140710"/>
            <wp:effectExtent l="0" t="0" r="3175" b="254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Bloomberg</w:t>
      </w:r>
    </w:p>
    <w:p w:rsidR="000B2BC5" w:rsidRPr="00272724" w:rsidRDefault="000B2BC5" w:rsidP="000B2BC5">
      <w:pPr>
        <w:spacing w:line="23" w:lineRule="atLeast"/>
        <w:jc w:val="both"/>
        <w:rPr>
          <w:rFonts w:ascii="Garamond" w:eastAsia="Times New Roman" w:hAnsi="Garamond"/>
          <w:bCs/>
          <w:sz w:val="22"/>
          <w:szCs w:val="22"/>
          <w:lang w:val="en-US"/>
        </w:rPr>
      </w:pPr>
    </w:p>
    <w:p w:rsidR="000B2BC5" w:rsidRPr="00272724" w:rsidRDefault="000B2BC5" w:rsidP="000B2BC5">
      <w:pPr>
        <w:spacing w:line="360" w:lineRule="auto"/>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t xml:space="preserve">Fund Mobilisation by </w:t>
      </w:r>
      <w:r w:rsidRPr="00436420">
        <w:rPr>
          <w:rFonts w:ascii="Palatino Linotype" w:eastAsia="Times New Roman" w:hAnsi="Palatino Linotype"/>
          <w:b/>
          <w:sz w:val="22"/>
          <w:szCs w:val="22"/>
          <w:u w:val="single"/>
          <w:lang w:val="en-US"/>
        </w:rPr>
        <w:t>Issuance of Equity</w:t>
      </w:r>
      <w:r w:rsidRPr="00272724">
        <w:rPr>
          <w:rFonts w:ascii="Palatino Linotype" w:eastAsia="Times New Roman" w:hAnsi="Palatino Linotype"/>
          <w:b/>
          <w:sz w:val="22"/>
          <w:szCs w:val="22"/>
          <w:u w:val="single"/>
          <w:lang w:val="en-US"/>
        </w:rPr>
        <w:t xml:space="preserve"> and Bonds (Table A2)</w:t>
      </w:r>
      <w:r w:rsidRPr="00272724">
        <w:rPr>
          <w:rFonts w:ascii="Palatino Linotype" w:eastAsia="Times New Roman" w:hAnsi="Palatino Linotype"/>
          <w:b/>
          <w:sz w:val="22"/>
          <w:szCs w:val="22"/>
          <w:lang w:val="en-US"/>
        </w:rPr>
        <w:t xml:space="preserve"> – </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There was a </w:t>
      </w:r>
      <w:r w:rsidRPr="00E10A1E">
        <w:rPr>
          <w:rFonts w:ascii="Palatino Linotype" w:eastAsia="Times New Roman" w:hAnsi="Palatino Linotype"/>
          <w:bCs/>
          <w:sz w:val="22"/>
          <w:szCs w:val="22"/>
          <w:lang w:val="en-US" w:eastAsia="en-GB"/>
        </w:rPr>
        <w:t>29.5</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per cent </w:t>
      </w:r>
      <w:r>
        <w:rPr>
          <w:rFonts w:ascii="Palatino Linotype" w:eastAsia="Times New Roman" w:hAnsi="Palatino Linotype"/>
          <w:bCs/>
          <w:sz w:val="22"/>
          <w:szCs w:val="22"/>
          <w:lang w:val="en-US" w:eastAsia="en-GB"/>
        </w:rPr>
        <w:t>decrease</w:t>
      </w:r>
      <w:r w:rsidRPr="00272724">
        <w:rPr>
          <w:rFonts w:ascii="Palatino Linotype" w:eastAsia="Times New Roman" w:hAnsi="Palatino Linotype"/>
          <w:bCs/>
          <w:sz w:val="22"/>
          <w:szCs w:val="22"/>
          <w:lang w:val="en-US" w:eastAsia="en-GB"/>
        </w:rPr>
        <w:t xml:space="preserve"> in the fund mobilization at the selected analyzed exchanges world-wide during </w:t>
      </w:r>
      <w:r>
        <w:rPr>
          <w:rFonts w:ascii="Palatino Linotype" w:eastAsia="Times New Roman" w:hAnsi="Palatino Linotype"/>
          <w:bCs/>
          <w:sz w:val="22"/>
          <w:szCs w:val="22"/>
          <w:lang w:val="en-US" w:eastAsia="en-GB"/>
        </w:rPr>
        <w:t>November 2020 (at</w:t>
      </w:r>
      <w:r w:rsidRPr="002538B6">
        <w:rPr>
          <w:rFonts w:ascii="Palatino Linotype" w:eastAsia="Times New Roman" w:hAnsi="Palatino Linotype"/>
          <w:bCs/>
          <w:sz w:val="22"/>
          <w:szCs w:val="22"/>
          <w:lang w:val="en-US" w:eastAsia="en-GB"/>
        </w:rPr>
        <w:t xml:space="preserve"> 272,977</w:t>
      </w:r>
      <w:r w:rsidRPr="000231F9">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million </w:t>
      </w:r>
      <w:r>
        <w:rPr>
          <w:rFonts w:ascii="Palatino Linotype" w:eastAsia="Times New Roman" w:hAnsi="Palatino Linotype"/>
          <w:bCs/>
          <w:sz w:val="22"/>
          <w:szCs w:val="22"/>
          <w:lang w:val="en-US" w:eastAsia="en-GB"/>
        </w:rPr>
        <w:t>USD) against previous month (at</w:t>
      </w:r>
      <w:r w:rsidRPr="002538B6">
        <w:rPr>
          <w:rFonts w:ascii="Palatino Linotype" w:eastAsia="Times New Roman" w:hAnsi="Palatino Linotype"/>
          <w:bCs/>
          <w:sz w:val="22"/>
          <w:szCs w:val="22"/>
          <w:lang w:val="en-US" w:eastAsia="en-GB"/>
        </w:rPr>
        <w:t xml:space="preserve"> 387,464</w:t>
      </w:r>
      <w:r w:rsidRPr="000231F9">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million USD). Only </w:t>
      </w:r>
      <w:r>
        <w:rPr>
          <w:rFonts w:ascii="Palatino Linotype" w:eastAsia="Times New Roman" w:hAnsi="Palatino Linotype"/>
          <w:bCs/>
          <w:sz w:val="22"/>
          <w:szCs w:val="22"/>
          <w:lang w:val="en-US" w:eastAsia="en-GB"/>
        </w:rPr>
        <w:t>19.5</w:t>
      </w:r>
      <w:r w:rsidRPr="000231F9">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per cent of the total fund mobilization in </w:t>
      </w:r>
      <w:r>
        <w:rPr>
          <w:rFonts w:ascii="Palatino Linotype" w:eastAsia="Times New Roman" w:hAnsi="Palatino Linotype"/>
          <w:bCs/>
          <w:color w:val="000000"/>
          <w:sz w:val="22"/>
          <w:szCs w:val="22"/>
          <w:lang w:val="en-US" w:eastAsia="en-GB"/>
        </w:rPr>
        <w:t>November</w:t>
      </w:r>
      <w:r w:rsidRPr="00272724">
        <w:rPr>
          <w:rFonts w:ascii="Palatino Linotype" w:eastAsia="Times New Roman" w:hAnsi="Palatino Linotype"/>
          <w:bCs/>
          <w:color w:val="000000"/>
          <w:sz w:val="22"/>
          <w:szCs w:val="22"/>
          <w:lang w:val="en-US" w:eastAsia="en-GB"/>
        </w:rPr>
        <w:t xml:space="preserve"> 2020 </w:t>
      </w:r>
      <w:r w:rsidRPr="00272724">
        <w:rPr>
          <w:rFonts w:ascii="Palatino Linotype" w:eastAsia="Times New Roman" w:hAnsi="Palatino Linotype"/>
          <w:bCs/>
          <w:sz w:val="22"/>
          <w:szCs w:val="22"/>
          <w:lang w:val="en-US" w:eastAsia="en-GB"/>
        </w:rPr>
        <w:t>was in equity and remaining was in debt.</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As per the data available on World Federation of Exchanges (WFE)</w:t>
      </w:r>
      <w:r w:rsidRPr="00272724">
        <w:rPr>
          <w:rFonts w:ascii="Palatino Linotype" w:eastAsia="Times New Roman" w:hAnsi="Palatino Linotype"/>
          <w:bCs/>
          <w:sz w:val="22"/>
          <w:szCs w:val="22"/>
          <w:vertAlign w:val="superscript"/>
          <w:lang w:val="en-US" w:eastAsia="en-GB"/>
        </w:rPr>
        <w:footnoteReference w:id="6"/>
      </w:r>
      <w:r w:rsidRPr="00272724">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was at LSE Group (</w:t>
      </w:r>
      <w:r w:rsidRPr="002431A8">
        <w:rPr>
          <w:rFonts w:ascii="Palatino Linotype" w:eastAsia="Times New Roman" w:hAnsi="Palatino Linotype"/>
          <w:bCs/>
          <w:sz w:val="22"/>
          <w:szCs w:val="22"/>
          <w:lang w:val="en-US" w:eastAsia="en-GB"/>
        </w:rPr>
        <w:t xml:space="preserve">74,848 </w:t>
      </w:r>
      <w:r w:rsidRPr="00272724">
        <w:rPr>
          <w:rFonts w:ascii="Palatino Linotype" w:eastAsia="Times New Roman" w:hAnsi="Palatino Linotype"/>
          <w:bCs/>
          <w:sz w:val="22"/>
          <w:szCs w:val="22"/>
          <w:lang w:val="en-US" w:eastAsia="en-GB"/>
        </w:rPr>
        <w:t>million USD) followed by</w:t>
      </w:r>
      <w:r w:rsidRPr="00272724">
        <w:rPr>
          <w:rFonts w:ascii="Palatino Linotype" w:hAnsi="Palatino Linotype"/>
          <w:sz w:val="22"/>
          <w:szCs w:val="22"/>
        </w:rPr>
        <w:t xml:space="preserve"> </w:t>
      </w:r>
      <w:r w:rsidRPr="000052B8">
        <w:rPr>
          <w:rFonts w:ascii="Palatino Linotype" w:hAnsi="Palatino Linotype"/>
          <w:sz w:val="22"/>
          <w:szCs w:val="22"/>
        </w:rPr>
        <w:t>Korea Exchange</w:t>
      </w:r>
      <w:r w:rsidRPr="00272724">
        <w:rPr>
          <w:rFonts w:ascii="Palatino Linotype" w:hAnsi="Palatino Linotype"/>
          <w:sz w:val="22"/>
          <w:szCs w:val="22"/>
        </w:rPr>
        <w:t xml:space="preserve"> </w:t>
      </w:r>
      <w:r w:rsidRPr="00272724">
        <w:rPr>
          <w:rFonts w:ascii="Palatino Linotype" w:eastAsia="Times New Roman" w:hAnsi="Palatino Linotype"/>
          <w:bCs/>
          <w:sz w:val="22"/>
          <w:szCs w:val="22"/>
          <w:lang w:val="en-US" w:eastAsia="en-GB"/>
        </w:rPr>
        <w:t>(</w:t>
      </w:r>
      <w:r w:rsidRPr="002431A8">
        <w:rPr>
          <w:rFonts w:ascii="Palatino Linotype" w:eastAsia="Times New Roman" w:hAnsi="Palatino Linotype"/>
          <w:bCs/>
          <w:sz w:val="22"/>
          <w:szCs w:val="22"/>
          <w:lang w:val="en-US" w:eastAsia="en-GB"/>
        </w:rPr>
        <w:t xml:space="preserve">49,520 </w:t>
      </w:r>
      <w:r w:rsidRPr="00272724">
        <w:rPr>
          <w:rFonts w:ascii="Palatino Linotype" w:eastAsia="Times New Roman" w:hAnsi="Palatino Linotype"/>
          <w:bCs/>
          <w:sz w:val="22"/>
          <w:szCs w:val="22"/>
          <w:lang w:val="en-US" w:eastAsia="en-GB"/>
        </w:rPr>
        <w:t xml:space="preserve">million USD) and </w:t>
      </w:r>
      <w:r w:rsidRPr="00F94819">
        <w:rPr>
          <w:rFonts w:ascii="Palatino Linotype" w:eastAsia="Times New Roman" w:hAnsi="Palatino Linotype"/>
          <w:bCs/>
          <w:sz w:val="22"/>
          <w:szCs w:val="22"/>
          <w:lang w:val="en-US" w:eastAsia="en-GB"/>
        </w:rPr>
        <w:t>Hong Kong Exchanges and Clearing</w:t>
      </w:r>
      <w:r w:rsidRPr="00272724">
        <w:rPr>
          <w:rFonts w:ascii="Palatino Linotype" w:eastAsia="Times New Roman" w:hAnsi="Palatino Linotype"/>
          <w:bCs/>
          <w:sz w:val="22"/>
          <w:szCs w:val="22"/>
          <w:lang w:val="en-US" w:eastAsia="en-GB"/>
        </w:rPr>
        <w:t xml:space="preserve"> (</w:t>
      </w:r>
      <w:r w:rsidRPr="002431A8">
        <w:rPr>
          <w:rFonts w:ascii="Palatino Linotype" w:eastAsia="Times New Roman" w:hAnsi="Palatino Linotype"/>
          <w:bCs/>
          <w:sz w:val="22"/>
          <w:szCs w:val="22"/>
          <w:lang w:val="en-US" w:eastAsia="en-GB"/>
        </w:rPr>
        <w:t xml:space="preserve">33,131 </w:t>
      </w:r>
      <w:r w:rsidRPr="00272724">
        <w:rPr>
          <w:rFonts w:ascii="Palatino Linotype" w:eastAsia="Times New Roman" w:hAnsi="Palatino Linotype"/>
          <w:bCs/>
          <w:sz w:val="22"/>
          <w:szCs w:val="22"/>
          <w:lang w:val="en-US" w:eastAsia="en-GB"/>
        </w:rPr>
        <w:t xml:space="preserve">million USD). </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fund mobilization at LSE Group in equity was, </w:t>
      </w:r>
      <w:r w:rsidRPr="00307E09">
        <w:rPr>
          <w:rFonts w:ascii="Palatino Linotype" w:eastAsia="Times New Roman" w:hAnsi="Palatino Linotype"/>
          <w:bCs/>
          <w:sz w:val="22"/>
          <w:szCs w:val="22"/>
          <w:lang w:val="en-US" w:eastAsia="en-GB"/>
        </w:rPr>
        <w:t xml:space="preserve">7,380 </w:t>
      </w:r>
      <w:r w:rsidRPr="00272724">
        <w:rPr>
          <w:rFonts w:ascii="Palatino Linotype" w:eastAsia="Times New Roman" w:hAnsi="Palatino Linotype"/>
          <w:bCs/>
          <w:sz w:val="22"/>
          <w:szCs w:val="22"/>
          <w:lang w:val="en-US" w:eastAsia="en-GB"/>
        </w:rPr>
        <w:t xml:space="preserve">million USD and the remaining amount was raised through bonds whereas at </w:t>
      </w:r>
      <w:r w:rsidRPr="006E0C1F">
        <w:rPr>
          <w:rFonts w:ascii="Palatino Linotype" w:hAnsi="Palatino Linotype"/>
          <w:sz w:val="22"/>
          <w:szCs w:val="22"/>
        </w:rPr>
        <w:t>Korea Exchange</w:t>
      </w:r>
      <w:r w:rsidRPr="00272724">
        <w:rPr>
          <w:rFonts w:ascii="Palatino Linotype" w:hAnsi="Palatino Linotype"/>
          <w:sz w:val="22"/>
          <w:szCs w:val="22"/>
        </w:rPr>
        <w:t xml:space="preserve"> </w:t>
      </w:r>
      <w:r>
        <w:rPr>
          <w:rFonts w:ascii="Palatino Linotype" w:eastAsia="Times New Roman" w:hAnsi="Palatino Linotype"/>
          <w:bCs/>
          <w:sz w:val="22"/>
          <w:szCs w:val="22"/>
          <w:lang w:val="en-US" w:eastAsia="en-GB"/>
        </w:rPr>
        <w:t>entire</w:t>
      </w:r>
      <w:r w:rsidRPr="00272724">
        <w:rPr>
          <w:rFonts w:ascii="Palatino Linotype" w:eastAsia="Times New Roman" w:hAnsi="Palatino Linotype"/>
          <w:bCs/>
          <w:sz w:val="22"/>
          <w:szCs w:val="22"/>
          <w:lang w:val="en-US" w:eastAsia="en-GB"/>
        </w:rPr>
        <w:t xml:space="preserve"> amount was raised through bonds</w:t>
      </w:r>
      <w:r>
        <w:rPr>
          <w:rFonts w:ascii="Palatino Linotype" w:eastAsia="Times New Roman" w:hAnsi="Palatino Linotype"/>
          <w:bCs/>
          <w:sz w:val="22"/>
          <w:szCs w:val="22"/>
          <w:lang w:val="en-US" w:eastAsia="en-GB"/>
        </w:rPr>
        <w:t xml:space="preserve"> only</w:t>
      </w:r>
      <w:r w:rsidRPr="00272724">
        <w:rPr>
          <w:rFonts w:ascii="Palatino Linotype" w:eastAsia="Times New Roman" w:hAnsi="Palatino Linotype"/>
          <w:bCs/>
          <w:sz w:val="22"/>
          <w:szCs w:val="22"/>
          <w:lang w:val="en-US" w:eastAsia="en-GB"/>
        </w:rPr>
        <w:t xml:space="preserve">. At </w:t>
      </w:r>
      <w:r w:rsidRPr="00F94819">
        <w:rPr>
          <w:rFonts w:ascii="Palatino Linotype" w:eastAsia="Times New Roman" w:hAnsi="Palatino Linotype"/>
          <w:bCs/>
          <w:sz w:val="22"/>
          <w:szCs w:val="22"/>
          <w:lang w:val="en-US" w:eastAsia="en-GB"/>
        </w:rPr>
        <w:t>Hong Kong Exchanges and Clearing</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w:t>
      </w:r>
      <w:r w:rsidRPr="00F94819">
        <w:rPr>
          <w:rFonts w:ascii="Palatino Linotype" w:eastAsia="Times New Roman" w:hAnsi="Palatino Linotype"/>
          <w:bCs/>
          <w:sz w:val="22"/>
          <w:szCs w:val="22"/>
          <w:lang w:val="en-US" w:eastAsia="en-GB"/>
        </w:rPr>
        <w:t xml:space="preserve">8,224 </w:t>
      </w:r>
      <w:r w:rsidRPr="00272724">
        <w:rPr>
          <w:rFonts w:ascii="Palatino Linotype" w:eastAsia="Times New Roman" w:hAnsi="Palatino Linotype"/>
          <w:bCs/>
          <w:sz w:val="22"/>
          <w:szCs w:val="22"/>
          <w:lang w:val="en-US" w:eastAsia="en-GB"/>
        </w:rPr>
        <w:t>million USD were raised through equity and the remaining amount was raised through bonds.</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was at </w:t>
      </w:r>
      <w:r w:rsidRPr="006028AA">
        <w:rPr>
          <w:rFonts w:ascii="Palatino Linotype" w:eastAsia="Times New Roman" w:hAnsi="Palatino Linotype"/>
          <w:bCs/>
          <w:sz w:val="22"/>
          <w:szCs w:val="22"/>
          <w:lang w:val="en-US" w:eastAsia="en-GB"/>
        </w:rPr>
        <w:t>NYSE</w:t>
      </w:r>
      <w:r w:rsidRPr="00272724">
        <w:rPr>
          <w:rFonts w:ascii="Palatino Linotype" w:eastAsia="Times New Roman" w:hAnsi="Palatino Linotype"/>
          <w:bCs/>
          <w:sz w:val="22"/>
          <w:szCs w:val="22"/>
          <w:lang w:val="en-US" w:eastAsia="en-GB"/>
        </w:rPr>
        <w:t xml:space="preserve"> (</w:t>
      </w:r>
      <w:r w:rsidRPr="006028AA">
        <w:rPr>
          <w:rFonts w:ascii="Palatino Linotype" w:eastAsia="Times New Roman" w:hAnsi="Palatino Linotype"/>
          <w:bCs/>
          <w:sz w:val="22"/>
          <w:szCs w:val="22"/>
          <w:lang w:val="en-US" w:eastAsia="en-GB"/>
        </w:rPr>
        <w:t xml:space="preserve">12,067 </w:t>
      </w:r>
      <w:r w:rsidRPr="00272724">
        <w:rPr>
          <w:rFonts w:ascii="Palatino Linotype" w:eastAsia="Times New Roman" w:hAnsi="Palatino Linotype"/>
          <w:bCs/>
          <w:sz w:val="22"/>
          <w:szCs w:val="22"/>
          <w:lang w:val="en-US" w:eastAsia="en-GB"/>
        </w:rPr>
        <w:t>million USD) followed by</w:t>
      </w:r>
      <w:r w:rsidRPr="00272724">
        <w:t xml:space="preserve"> </w:t>
      </w:r>
      <w:r w:rsidRPr="006028AA">
        <w:rPr>
          <w:rFonts w:ascii="Palatino Linotype" w:eastAsia="Times New Roman" w:hAnsi="Palatino Linotype"/>
          <w:bCs/>
          <w:sz w:val="22"/>
          <w:szCs w:val="22"/>
          <w:lang w:val="en-US" w:eastAsia="en-GB"/>
        </w:rPr>
        <w:t xml:space="preserve">Hong Kong Exchanges and Clearing </w:t>
      </w:r>
      <w:r w:rsidRPr="00272724">
        <w:rPr>
          <w:rFonts w:ascii="Palatino Linotype" w:eastAsia="Times New Roman" w:hAnsi="Palatino Linotype"/>
          <w:bCs/>
          <w:sz w:val="22"/>
          <w:szCs w:val="22"/>
          <w:lang w:val="en-US" w:eastAsia="en-GB"/>
        </w:rPr>
        <w:t>(</w:t>
      </w:r>
      <w:r w:rsidRPr="006028AA">
        <w:rPr>
          <w:rFonts w:ascii="Palatino Linotype" w:eastAsia="Times New Roman" w:hAnsi="Palatino Linotype"/>
          <w:bCs/>
          <w:sz w:val="22"/>
          <w:szCs w:val="22"/>
          <w:lang w:val="en-US" w:eastAsia="en-GB"/>
        </w:rPr>
        <w:t xml:space="preserve">8,224 </w:t>
      </w:r>
      <w:r w:rsidRPr="00272724">
        <w:rPr>
          <w:rFonts w:ascii="Palatino Linotype" w:eastAsia="Times New Roman" w:hAnsi="Palatino Linotype"/>
          <w:bCs/>
          <w:sz w:val="22"/>
          <w:szCs w:val="22"/>
          <w:lang w:val="en-US" w:eastAsia="en-GB"/>
        </w:rPr>
        <w:t xml:space="preserve">million USD).   </w:t>
      </w:r>
    </w:p>
    <w:p w:rsidR="000B2BC5" w:rsidRPr="00272724" w:rsidRDefault="000B2BC5" w:rsidP="000B2BC5">
      <w:pPr>
        <w:spacing w:line="276" w:lineRule="auto"/>
        <w:jc w:val="both"/>
        <w:rPr>
          <w:rFonts w:ascii="Palatino Linotype" w:eastAsia="Times New Roman" w:hAnsi="Palatino Linotype"/>
          <w:bCs/>
          <w:strike/>
          <w:sz w:val="22"/>
          <w:szCs w:val="22"/>
          <w:lang w:val="en-US"/>
        </w:rPr>
      </w:pPr>
    </w:p>
    <w:p w:rsidR="000B2BC5" w:rsidRPr="00272724" w:rsidRDefault="000B2BC5" w:rsidP="000B2BC5">
      <w:pPr>
        <w:spacing w:line="276" w:lineRule="auto"/>
        <w:ind w:left="284"/>
        <w:jc w:val="both"/>
        <w:rPr>
          <w:rFonts w:ascii="Palatino Linotype" w:eastAsia="Times New Roman" w:hAnsi="Palatino Linotype"/>
          <w:b/>
          <w:sz w:val="22"/>
          <w:szCs w:val="22"/>
          <w:lang w:val="en-US"/>
        </w:rPr>
      </w:pPr>
      <w:r w:rsidRPr="00272724">
        <w:rPr>
          <w:rFonts w:ascii="Palatino Linotype" w:eastAsia="Times New Roman" w:hAnsi="Palatino Linotype"/>
          <w:b/>
          <w:sz w:val="22"/>
          <w:szCs w:val="22"/>
          <w:u w:val="single"/>
          <w:lang w:val="en-US"/>
        </w:rPr>
        <w:t>Market Capitalisation of Major</w:t>
      </w:r>
      <w:r w:rsidRPr="00272724">
        <w:rPr>
          <w:rFonts w:ascii="Palatino Linotype" w:eastAsia="Times New Roman" w:hAnsi="Palatino Linotype"/>
          <w:b/>
          <w:sz w:val="22"/>
          <w:szCs w:val="22"/>
          <w:lang w:val="en-US"/>
        </w:rPr>
        <w:t xml:space="preserve"> Exchanges (Table A3) –</w:t>
      </w:r>
    </w:p>
    <w:p w:rsidR="000B2BC5" w:rsidRPr="00272724" w:rsidRDefault="000B2BC5" w:rsidP="000B2BC5">
      <w:pPr>
        <w:spacing w:line="276" w:lineRule="auto"/>
        <w:ind w:left="360"/>
        <w:contextualSpacing/>
        <w:jc w:val="both"/>
        <w:rPr>
          <w:rFonts w:ascii="Palatino Linotype" w:eastAsia="Times New Roman" w:hAnsi="Palatino Linotype"/>
          <w:b/>
          <w:sz w:val="22"/>
          <w:szCs w:val="22"/>
          <w:lang w:val="en-US" w:eastAsia="en-GB"/>
        </w:rPr>
      </w:pPr>
    </w:p>
    <w:p w:rsidR="000B2BC5" w:rsidRPr="00272724" w:rsidRDefault="000B2BC5" w:rsidP="000B2BC5">
      <w:pPr>
        <w:numPr>
          <w:ilvl w:val="0"/>
          <w:numId w:val="16"/>
        </w:numPr>
        <w:spacing w:line="276" w:lineRule="auto"/>
        <w:ind w:left="357" w:hanging="357"/>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Most of the analysed exchanges of selected markets</w:t>
      </w:r>
      <w:r w:rsidRPr="00272724">
        <w:rPr>
          <w:rFonts w:ascii="Palatino Linotype" w:eastAsia="Times New Roman" w:hAnsi="Palatino Linotype"/>
          <w:bCs/>
          <w:sz w:val="22"/>
          <w:szCs w:val="22"/>
          <w:vertAlign w:val="superscript"/>
          <w:lang w:val="en-US" w:eastAsia="en-GB"/>
        </w:rPr>
        <w:footnoteReference w:id="7"/>
      </w:r>
      <w:r>
        <w:rPr>
          <w:rFonts w:ascii="Palatino Linotype" w:eastAsia="Times New Roman" w:hAnsi="Palatino Linotype"/>
          <w:bCs/>
          <w:sz w:val="22"/>
          <w:szCs w:val="22"/>
          <w:lang w:val="en-US" w:eastAsia="en-GB"/>
        </w:rPr>
        <w:t xml:space="preserve">, reflected an increase </w:t>
      </w:r>
      <w:r w:rsidRPr="00272724">
        <w:rPr>
          <w:rFonts w:ascii="Palatino Linotype" w:eastAsia="Times New Roman" w:hAnsi="Palatino Linotype"/>
          <w:bCs/>
          <w:sz w:val="22"/>
          <w:szCs w:val="22"/>
          <w:lang w:val="en-US" w:eastAsia="en-GB"/>
        </w:rPr>
        <w:t xml:space="preserve">in market capitalization in the month of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as compared to previous month.</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Among the exchanges which registered </w:t>
      </w:r>
      <w:r>
        <w:rPr>
          <w:rFonts w:ascii="Palatino Linotype" w:eastAsia="Times New Roman" w:hAnsi="Palatino Linotype"/>
          <w:bCs/>
          <w:sz w:val="22"/>
          <w:szCs w:val="22"/>
          <w:lang w:val="en-US" w:eastAsia="en-GB"/>
        </w:rPr>
        <w:t xml:space="preserve">highest </w:t>
      </w:r>
      <w:r w:rsidRPr="00272724">
        <w:rPr>
          <w:rFonts w:ascii="Palatino Linotype" w:eastAsia="Times New Roman" w:hAnsi="Palatino Linotype"/>
          <w:bCs/>
          <w:sz w:val="22"/>
          <w:szCs w:val="22"/>
          <w:lang w:val="en-US" w:eastAsia="en-GB"/>
        </w:rPr>
        <w:t xml:space="preserve">increase in market capitalization were </w:t>
      </w:r>
      <w:r w:rsidRPr="00C717D2">
        <w:rPr>
          <w:rFonts w:ascii="Palatino Linotype" w:eastAsia="Times New Roman" w:hAnsi="Palatino Linotype"/>
          <w:bCs/>
          <w:sz w:val="22"/>
          <w:szCs w:val="22"/>
          <w:lang w:val="en-US" w:eastAsia="en-GB"/>
        </w:rPr>
        <w:t>BME Spanish Exchanges</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w:t>
      </w:r>
      <w:r w:rsidRPr="00C717D2">
        <w:rPr>
          <w:rFonts w:ascii="Palatino Linotype" w:eastAsia="Times New Roman" w:hAnsi="Palatino Linotype"/>
          <w:bCs/>
          <w:sz w:val="22"/>
          <w:szCs w:val="22"/>
          <w:lang w:val="en-US" w:eastAsia="en-GB"/>
        </w:rPr>
        <w:t>B3 - Brasil Bolsa Balcão</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and </w:t>
      </w:r>
      <w:r w:rsidRPr="00C717D2">
        <w:rPr>
          <w:rFonts w:ascii="Palatino Linotype" w:eastAsia="Times New Roman" w:hAnsi="Palatino Linotype"/>
          <w:bCs/>
          <w:sz w:val="22"/>
          <w:szCs w:val="22"/>
          <w:lang w:val="en-US" w:eastAsia="en-GB"/>
        </w:rPr>
        <w:t>Moscow Exchange</w:t>
      </w:r>
      <w:r w:rsidRPr="00272724">
        <w:rPr>
          <w:rFonts w:ascii="Palatino Linotype" w:eastAsia="Times New Roman" w:hAnsi="Palatino Linotype"/>
          <w:bCs/>
          <w:sz w:val="22"/>
          <w:szCs w:val="22"/>
          <w:lang w:val="en-US" w:eastAsia="en-GB"/>
        </w:rPr>
        <w:t xml:space="preserve"> (</w:t>
      </w:r>
      <w:r w:rsidRPr="00C717D2">
        <w:rPr>
          <w:rFonts w:ascii="Palatino Linotype" w:eastAsia="Times New Roman" w:hAnsi="Palatino Linotype"/>
          <w:bCs/>
          <w:sz w:val="22"/>
          <w:szCs w:val="22"/>
          <w:lang w:val="en-US" w:eastAsia="en-GB"/>
        </w:rPr>
        <w:t>23.9</w:t>
      </w:r>
      <w:r>
        <w:rPr>
          <w:rFonts w:ascii="Palatino Linotype" w:eastAsia="Times New Roman" w:hAnsi="Palatino Linotype"/>
          <w:bCs/>
          <w:sz w:val="22"/>
          <w:szCs w:val="22"/>
          <w:lang w:val="en-US" w:eastAsia="en-GB"/>
        </w:rPr>
        <w:t xml:space="preserve">, </w:t>
      </w:r>
      <w:r w:rsidRPr="00C717D2">
        <w:rPr>
          <w:rFonts w:ascii="Palatino Linotype" w:eastAsia="Times New Roman" w:hAnsi="Palatino Linotype"/>
          <w:bCs/>
          <w:sz w:val="22"/>
          <w:szCs w:val="22"/>
          <w:lang w:val="en-US" w:eastAsia="en-GB"/>
        </w:rPr>
        <w:t>22.7</w:t>
      </w:r>
      <w:r w:rsidRPr="00905D76">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and </w:t>
      </w:r>
      <w:r w:rsidRPr="00C717D2">
        <w:rPr>
          <w:rFonts w:ascii="Palatino Linotype" w:eastAsia="Times New Roman" w:hAnsi="Palatino Linotype"/>
          <w:bCs/>
          <w:sz w:val="22"/>
          <w:szCs w:val="22"/>
          <w:lang w:val="en-US" w:eastAsia="en-GB"/>
        </w:rPr>
        <w:t>19.2</w:t>
      </w:r>
      <w:r>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per cent respectively)</w:t>
      </w:r>
      <w:r>
        <w:rPr>
          <w:rFonts w:ascii="Palatino Linotype" w:eastAsia="Times New Roman" w:hAnsi="Palatino Linotype"/>
          <w:bCs/>
          <w:sz w:val="22"/>
          <w:szCs w:val="22"/>
          <w:lang w:val="en-US" w:eastAsia="en-GB"/>
        </w:rPr>
        <w:t>.</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Among the exchanges which </w:t>
      </w:r>
      <w:r>
        <w:rPr>
          <w:rFonts w:ascii="Palatino Linotype" w:eastAsia="Times New Roman" w:hAnsi="Palatino Linotype"/>
          <w:bCs/>
          <w:sz w:val="22"/>
          <w:szCs w:val="22"/>
          <w:lang w:val="en-US" w:eastAsia="en-GB"/>
        </w:rPr>
        <w:t>showed least growth</w:t>
      </w:r>
      <w:r w:rsidRPr="00272724">
        <w:rPr>
          <w:rFonts w:ascii="Palatino Linotype" w:eastAsia="Times New Roman" w:hAnsi="Palatino Linotype"/>
          <w:bCs/>
          <w:sz w:val="22"/>
          <w:szCs w:val="22"/>
          <w:lang w:val="en-US" w:eastAsia="en-GB"/>
        </w:rPr>
        <w:t xml:space="preserve"> of the market capitalization among the analysed ones were </w:t>
      </w:r>
      <w:r w:rsidRPr="004C5497">
        <w:rPr>
          <w:rFonts w:ascii="Palatino Linotype" w:eastAsia="Times New Roman" w:hAnsi="Palatino Linotype"/>
          <w:bCs/>
          <w:sz w:val="22"/>
          <w:szCs w:val="22"/>
          <w:lang w:val="en-US" w:eastAsia="en-GB"/>
        </w:rPr>
        <w:t>Shenzhen Stock Exchange</w:t>
      </w:r>
      <w:r w:rsidRPr="00272724">
        <w:rPr>
          <w:rFonts w:ascii="Palatino Linotype" w:eastAsia="Times New Roman" w:hAnsi="Palatino Linotype"/>
          <w:bCs/>
          <w:sz w:val="22"/>
          <w:szCs w:val="22"/>
          <w:lang w:val="en-US" w:eastAsia="en-GB"/>
        </w:rPr>
        <w:t xml:space="preserve"> (</w:t>
      </w:r>
      <w:r w:rsidRPr="004C5497">
        <w:rPr>
          <w:rFonts w:ascii="Palatino Linotype" w:eastAsia="Times New Roman" w:hAnsi="Palatino Linotype"/>
          <w:bCs/>
          <w:sz w:val="22"/>
          <w:szCs w:val="22"/>
          <w:lang w:val="en-US" w:eastAsia="en-GB"/>
        </w:rPr>
        <w:t>4.5</w:t>
      </w:r>
      <w:r w:rsidRPr="00272724">
        <w:rPr>
          <w:rFonts w:ascii="Palatino Linotype" w:eastAsia="Times New Roman" w:hAnsi="Palatino Linotype"/>
          <w:bCs/>
          <w:sz w:val="22"/>
          <w:szCs w:val="22"/>
          <w:lang w:val="en-US" w:eastAsia="en-GB"/>
        </w:rPr>
        <w:t xml:space="preserve"> per cent), </w:t>
      </w:r>
      <w:r w:rsidRPr="004C5497">
        <w:rPr>
          <w:rFonts w:ascii="Palatino Linotype" w:eastAsia="Times New Roman" w:hAnsi="Palatino Linotype"/>
          <w:bCs/>
          <w:sz w:val="22"/>
          <w:szCs w:val="22"/>
          <w:lang w:val="en-US" w:eastAsia="en-GB"/>
        </w:rPr>
        <w:t>Hong Kong Exchanges and Clearing</w:t>
      </w:r>
      <w:r w:rsidRPr="00272724">
        <w:rPr>
          <w:rFonts w:ascii="Palatino Linotype" w:eastAsia="Times New Roman" w:hAnsi="Palatino Linotype"/>
          <w:bCs/>
          <w:sz w:val="22"/>
          <w:szCs w:val="22"/>
          <w:lang w:val="en-US" w:eastAsia="en-GB"/>
        </w:rPr>
        <w:t xml:space="preserve"> (</w:t>
      </w:r>
      <w:r w:rsidRPr="004C5497">
        <w:rPr>
          <w:rFonts w:ascii="Palatino Linotype" w:eastAsia="Times New Roman" w:hAnsi="Palatino Linotype"/>
          <w:bCs/>
          <w:sz w:val="22"/>
          <w:szCs w:val="22"/>
          <w:lang w:val="en-US" w:eastAsia="en-GB"/>
        </w:rPr>
        <w:t>5.6</w:t>
      </w:r>
      <w:r w:rsidRPr="00272724">
        <w:rPr>
          <w:rFonts w:ascii="Palatino Linotype" w:eastAsia="Times New Roman" w:hAnsi="Palatino Linotype"/>
          <w:bCs/>
          <w:sz w:val="22"/>
          <w:szCs w:val="22"/>
          <w:lang w:val="en-US" w:eastAsia="en-GB"/>
        </w:rPr>
        <w:t xml:space="preserve"> per cent) and </w:t>
      </w:r>
      <w:r w:rsidRPr="004C5497">
        <w:rPr>
          <w:rFonts w:ascii="Palatino Linotype" w:eastAsia="Times New Roman" w:hAnsi="Palatino Linotype"/>
          <w:bCs/>
          <w:sz w:val="22"/>
          <w:szCs w:val="22"/>
          <w:lang w:val="en-US" w:eastAsia="en-GB"/>
        </w:rPr>
        <w:t>Japan Exchange Group</w:t>
      </w:r>
      <w:r w:rsidRPr="00272724">
        <w:rPr>
          <w:rFonts w:ascii="Palatino Linotype" w:eastAsia="Times New Roman" w:hAnsi="Palatino Linotype"/>
          <w:bCs/>
          <w:sz w:val="22"/>
          <w:szCs w:val="22"/>
          <w:lang w:val="en-US" w:eastAsia="en-GB"/>
        </w:rPr>
        <w:t xml:space="preserve"> (</w:t>
      </w:r>
      <w:r w:rsidRPr="004C5497">
        <w:rPr>
          <w:rFonts w:ascii="Palatino Linotype" w:eastAsia="Times New Roman" w:hAnsi="Palatino Linotype"/>
          <w:bCs/>
          <w:sz w:val="22"/>
          <w:szCs w:val="22"/>
          <w:lang w:val="en-US" w:eastAsia="en-GB"/>
        </w:rPr>
        <w:t>7.7</w:t>
      </w:r>
      <w:r w:rsidRPr="00272724">
        <w:rPr>
          <w:rFonts w:ascii="Palatino Linotype" w:eastAsia="Times New Roman" w:hAnsi="Palatino Linotype"/>
          <w:bCs/>
          <w:sz w:val="22"/>
          <w:szCs w:val="22"/>
          <w:lang w:val="en-US" w:eastAsia="en-GB"/>
        </w:rPr>
        <w:t xml:space="preserve"> per cent).</w:t>
      </w:r>
    </w:p>
    <w:p w:rsidR="000B2BC5" w:rsidRPr="00272724" w:rsidRDefault="000B2BC5" w:rsidP="000B2BC5">
      <w:pPr>
        <w:spacing w:line="276" w:lineRule="auto"/>
        <w:ind w:left="360"/>
        <w:contextualSpacing/>
        <w:jc w:val="both"/>
        <w:rPr>
          <w:rFonts w:ascii="Palatino Linotype" w:eastAsia="Times New Roman" w:hAnsi="Palatino Linotype"/>
          <w:b/>
          <w:sz w:val="22"/>
          <w:szCs w:val="22"/>
          <w:u w:val="single"/>
          <w:lang w:val="en-US"/>
        </w:rPr>
      </w:pPr>
    </w:p>
    <w:p w:rsidR="000B2BC5" w:rsidRPr="00272724" w:rsidRDefault="000B2BC5" w:rsidP="000B2BC5">
      <w:pPr>
        <w:spacing w:line="276" w:lineRule="auto"/>
        <w:ind w:left="360"/>
        <w:contextualSpacing/>
        <w:jc w:val="both"/>
        <w:rPr>
          <w:rFonts w:ascii="Palatino Linotype" w:eastAsia="Times New Roman" w:hAnsi="Palatino Linotype"/>
          <w:b/>
          <w:sz w:val="22"/>
          <w:szCs w:val="22"/>
          <w:lang w:val="en-US" w:eastAsia="en-GB"/>
        </w:rPr>
      </w:pPr>
      <w:r w:rsidRPr="00272724">
        <w:rPr>
          <w:rFonts w:ascii="Palatino Linotype" w:eastAsia="Times New Roman" w:hAnsi="Palatino Linotype"/>
          <w:b/>
          <w:sz w:val="22"/>
          <w:szCs w:val="22"/>
          <w:u w:val="single"/>
          <w:lang w:val="en-US"/>
        </w:rPr>
        <w:t xml:space="preserve">Derivatives </w:t>
      </w:r>
      <w:r w:rsidRPr="00272724">
        <w:rPr>
          <w:rFonts w:ascii="Palatino Linotype" w:eastAsia="Times New Roman" w:hAnsi="Palatino Linotype"/>
          <w:b/>
          <w:sz w:val="22"/>
          <w:szCs w:val="22"/>
          <w:lang w:val="en-US" w:eastAsia="en-GB"/>
        </w:rPr>
        <w:t xml:space="preserve">(Figures 5-6, Table A4–A8) – </w:t>
      </w:r>
    </w:p>
    <w:p w:rsidR="000B2BC5" w:rsidRPr="00272724" w:rsidRDefault="000B2BC5" w:rsidP="000B2BC5">
      <w:pPr>
        <w:spacing w:line="276" w:lineRule="auto"/>
        <w:ind w:left="360"/>
        <w:contextualSpacing/>
        <w:jc w:val="both"/>
        <w:rPr>
          <w:rFonts w:ascii="Palatino Linotype" w:eastAsia="Times New Roman" w:hAnsi="Palatino Linotype"/>
          <w:b/>
          <w:sz w:val="22"/>
          <w:szCs w:val="22"/>
          <w:lang w:val="en-US" w:eastAsia="en-GB"/>
        </w:rPr>
      </w:pP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 xml:space="preserve"> the highest number of single stock futures contracts traded was at </w:t>
      </w:r>
      <w:r w:rsidRPr="007156EB">
        <w:rPr>
          <w:rFonts w:ascii="Palatino Linotype" w:eastAsia="Times New Roman" w:hAnsi="Palatino Linotype"/>
          <w:bCs/>
          <w:sz w:val="22"/>
          <w:szCs w:val="22"/>
          <w:lang w:val="en-US" w:eastAsia="en-GB"/>
        </w:rPr>
        <w:t>Borsa Istanbul</w:t>
      </w:r>
      <w:r w:rsidRPr="00272724">
        <w:rPr>
          <w:rFonts w:ascii="Palatino Linotype" w:eastAsia="Times New Roman" w:hAnsi="Palatino Linotype"/>
          <w:bCs/>
          <w:sz w:val="22"/>
          <w:szCs w:val="22"/>
          <w:lang w:val="en-US" w:eastAsia="en-GB"/>
        </w:rPr>
        <w:t xml:space="preserve"> (</w:t>
      </w:r>
      <w:r w:rsidRPr="00274E7E">
        <w:rPr>
          <w:rFonts w:ascii="Palatino Linotype" w:eastAsia="Times New Roman" w:hAnsi="Palatino Linotype"/>
          <w:bCs/>
          <w:sz w:val="22"/>
          <w:szCs w:val="22"/>
          <w:lang w:val="en-US" w:eastAsia="en-GB"/>
        </w:rPr>
        <w:t>230,322,975)</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Korea Exchange</w:t>
      </w:r>
      <w:r w:rsidRPr="00272724">
        <w:rPr>
          <w:rFonts w:ascii="Palatino Linotype" w:eastAsia="Times New Roman" w:hAnsi="Palatino Linotype"/>
          <w:bCs/>
          <w:sz w:val="22"/>
          <w:szCs w:val="22"/>
          <w:lang w:val="en-US" w:eastAsia="en-GB"/>
        </w:rPr>
        <w:t xml:space="preserve"> (</w:t>
      </w:r>
      <w:r w:rsidRPr="00274E7E">
        <w:rPr>
          <w:rFonts w:ascii="Palatino Linotype" w:eastAsia="Times New Roman" w:hAnsi="Palatino Linotype"/>
          <w:bCs/>
          <w:sz w:val="22"/>
          <w:szCs w:val="22"/>
          <w:lang w:val="en-US" w:eastAsia="en-GB"/>
        </w:rPr>
        <w:t>112,152,667)</w:t>
      </w:r>
      <w:r w:rsidRPr="00272724">
        <w:rPr>
          <w:rFonts w:ascii="Palatino Linotype" w:eastAsia="Times New Roman" w:hAnsi="Palatino Linotype"/>
          <w:bCs/>
          <w:sz w:val="22"/>
          <w:szCs w:val="22"/>
          <w:lang w:val="en-US" w:eastAsia="en-GB"/>
        </w:rPr>
        <w:t xml:space="preserve">. The highest number of single stock options were traded at </w:t>
      </w:r>
      <w:r w:rsidRPr="007156EB">
        <w:rPr>
          <w:rFonts w:ascii="Palatino Linotype" w:eastAsia="Times New Roman" w:hAnsi="Palatino Linotype"/>
          <w:bCs/>
          <w:sz w:val="22"/>
          <w:szCs w:val="22"/>
          <w:lang w:val="en-US" w:eastAsia="en-GB"/>
        </w:rPr>
        <w:t>Nasdaq - US</w:t>
      </w:r>
      <w:r w:rsidRPr="00272724">
        <w:rPr>
          <w:rFonts w:ascii="Palatino Linotype" w:eastAsia="Times New Roman" w:hAnsi="Palatino Linotype"/>
          <w:bCs/>
          <w:sz w:val="22"/>
          <w:szCs w:val="22"/>
          <w:lang w:val="en-US" w:eastAsia="en-GB"/>
        </w:rPr>
        <w:t xml:space="preserve"> (</w:t>
      </w:r>
      <w:r w:rsidRPr="00274E7E">
        <w:rPr>
          <w:rFonts w:ascii="Palatino Linotype" w:eastAsia="Times New Roman" w:hAnsi="Palatino Linotype"/>
          <w:bCs/>
          <w:sz w:val="22"/>
          <w:szCs w:val="22"/>
          <w:lang w:val="en-US" w:eastAsia="en-GB"/>
        </w:rPr>
        <w:t>178,688,246)</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B3 - Brasil Bolsa Balcão</w:t>
      </w:r>
      <w:r w:rsidRPr="00272724">
        <w:rPr>
          <w:rFonts w:ascii="Palatino Linotype" w:eastAsia="Times New Roman" w:hAnsi="Palatino Linotype"/>
          <w:bCs/>
          <w:sz w:val="22"/>
          <w:szCs w:val="22"/>
          <w:lang w:val="en-US" w:eastAsia="en-GB"/>
        </w:rPr>
        <w:t xml:space="preserve"> (</w:t>
      </w:r>
      <w:r w:rsidRPr="00274E7E">
        <w:rPr>
          <w:rFonts w:ascii="Palatino Linotype" w:eastAsia="Times New Roman" w:hAnsi="Palatino Linotype"/>
          <w:bCs/>
          <w:sz w:val="22"/>
          <w:szCs w:val="22"/>
          <w:lang w:val="en-US" w:eastAsia="en-GB"/>
        </w:rPr>
        <w:t>158,742,273)</w:t>
      </w:r>
      <w:r w:rsidRPr="00272724">
        <w:rPr>
          <w:rFonts w:ascii="Palatino Linotype" w:eastAsia="Times New Roman" w:hAnsi="Palatino Linotype"/>
          <w:bCs/>
          <w:sz w:val="22"/>
          <w:szCs w:val="22"/>
          <w:lang w:val="en-US" w:eastAsia="en-GB"/>
        </w:rPr>
        <w:t>.</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the same period, highest number of contracts of index futures were traded at </w:t>
      </w:r>
      <w:r w:rsidRPr="007156EB">
        <w:rPr>
          <w:rFonts w:ascii="Palatino Linotype" w:eastAsia="Times New Roman" w:hAnsi="Palatino Linotype"/>
          <w:bCs/>
          <w:sz w:val="22"/>
          <w:szCs w:val="22"/>
          <w:lang w:val="en-US" w:eastAsia="en-GB"/>
        </w:rPr>
        <w:t>B3 - Brasil Bolsa Balcão</w:t>
      </w:r>
      <w:r w:rsidRPr="00272724">
        <w:rPr>
          <w:rFonts w:ascii="Palatino Linotype" w:eastAsia="Times New Roman" w:hAnsi="Palatino Linotype"/>
          <w:bCs/>
          <w:sz w:val="22"/>
          <w:szCs w:val="22"/>
          <w:lang w:val="en-US" w:eastAsia="en-GB"/>
        </w:rPr>
        <w:t xml:space="preserve"> (</w:t>
      </w:r>
      <w:r w:rsidRPr="002236FD">
        <w:rPr>
          <w:rFonts w:ascii="Palatino Linotype" w:eastAsia="Times New Roman" w:hAnsi="Palatino Linotype"/>
          <w:bCs/>
          <w:sz w:val="22"/>
          <w:szCs w:val="22"/>
          <w:lang w:val="en-US" w:eastAsia="en-GB"/>
        </w:rPr>
        <w:t>288,867,931)</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CME Group</w:t>
      </w:r>
      <w:r w:rsidRPr="00272724">
        <w:rPr>
          <w:rFonts w:ascii="Palatino Linotype" w:eastAsia="Times New Roman" w:hAnsi="Palatino Linotype"/>
          <w:bCs/>
          <w:sz w:val="22"/>
          <w:szCs w:val="22"/>
          <w:lang w:val="en-US" w:eastAsia="en-GB"/>
        </w:rPr>
        <w:t xml:space="preserve"> (</w:t>
      </w:r>
      <w:r w:rsidRPr="002236FD">
        <w:rPr>
          <w:rFonts w:ascii="Palatino Linotype" w:eastAsia="Times New Roman" w:hAnsi="Palatino Linotype"/>
          <w:bCs/>
          <w:sz w:val="22"/>
          <w:szCs w:val="22"/>
          <w:lang w:val="en-US" w:eastAsia="en-GB"/>
        </w:rPr>
        <w:t>95,784,515)</w:t>
      </w:r>
      <w:r w:rsidRPr="00272724">
        <w:rPr>
          <w:rFonts w:ascii="Palatino Linotype" w:eastAsia="Times New Roman" w:hAnsi="Palatino Linotype"/>
          <w:bCs/>
          <w:sz w:val="22"/>
          <w:szCs w:val="22"/>
          <w:lang w:val="en-US" w:eastAsia="en-GB"/>
        </w:rPr>
        <w:t>. Among the stock index options, the highest number of contacts were traded at NSE (</w:t>
      </w:r>
      <w:r w:rsidRPr="002236FD">
        <w:rPr>
          <w:rFonts w:ascii="Palatino Linotype" w:eastAsia="Times New Roman" w:hAnsi="Palatino Linotype"/>
          <w:bCs/>
          <w:sz w:val="22"/>
          <w:szCs w:val="22"/>
          <w:lang w:val="en-US" w:eastAsia="en-GB"/>
        </w:rPr>
        <w:t>661,486,860)</w:t>
      </w:r>
      <w:r w:rsidRPr="00272724">
        <w:rPr>
          <w:rFonts w:ascii="Palatino Linotype" w:eastAsia="Times New Roman" w:hAnsi="Palatino Linotype"/>
          <w:bCs/>
          <w:sz w:val="22"/>
          <w:szCs w:val="22"/>
          <w:lang w:val="en-US" w:eastAsia="en-GB"/>
        </w:rPr>
        <w:t xml:space="preserve"> followed by </w:t>
      </w:r>
      <w:r w:rsidRPr="007156EB">
        <w:rPr>
          <w:rFonts w:ascii="Palatino Linotype" w:eastAsia="Times New Roman" w:hAnsi="Palatino Linotype"/>
          <w:bCs/>
          <w:sz w:val="22"/>
          <w:szCs w:val="22"/>
          <w:lang w:val="en-US" w:eastAsia="en-GB"/>
        </w:rPr>
        <w:t>Korea Exchange</w:t>
      </w:r>
      <w:r w:rsidRPr="00272724">
        <w:rPr>
          <w:rFonts w:ascii="Palatino Linotype" w:eastAsia="Times New Roman" w:hAnsi="Palatino Linotype"/>
          <w:bCs/>
          <w:sz w:val="22"/>
          <w:szCs w:val="22"/>
          <w:lang w:val="en-US" w:eastAsia="en-GB"/>
        </w:rPr>
        <w:t xml:space="preserve"> (</w:t>
      </w:r>
      <w:r w:rsidRPr="002236FD">
        <w:rPr>
          <w:rFonts w:ascii="Palatino Linotype" w:eastAsia="Times New Roman" w:hAnsi="Palatino Linotype"/>
          <w:bCs/>
          <w:sz w:val="22"/>
          <w:szCs w:val="22"/>
          <w:lang w:val="en-US" w:eastAsia="en-GB"/>
        </w:rPr>
        <w:t>65,364,504)</w:t>
      </w:r>
      <w:r w:rsidRPr="00272724">
        <w:rPr>
          <w:rFonts w:ascii="Palatino Linotype" w:eastAsia="Times New Roman" w:hAnsi="Palatino Linotype"/>
          <w:bCs/>
          <w:sz w:val="22"/>
          <w:szCs w:val="22"/>
          <w:lang w:val="en-US" w:eastAsia="en-GB"/>
        </w:rPr>
        <w:t>.</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Highest number of currency futures contracts were traded at Moscow Exchange (</w:t>
      </w:r>
      <w:r w:rsidRPr="000506C1">
        <w:rPr>
          <w:rFonts w:ascii="Palatino Linotype" w:eastAsia="Times New Roman" w:hAnsi="Palatino Linotype"/>
          <w:bCs/>
          <w:sz w:val="22"/>
          <w:szCs w:val="22"/>
          <w:lang w:val="en-US" w:eastAsia="en-GB"/>
        </w:rPr>
        <w:t>84,975,313)</w:t>
      </w:r>
      <w:r w:rsidRPr="00272724">
        <w:rPr>
          <w:rFonts w:ascii="Palatino Linotype" w:eastAsia="Times New Roman" w:hAnsi="Palatino Linotype"/>
          <w:bCs/>
          <w:sz w:val="22"/>
          <w:szCs w:val="22"/>
          <w:lang w:val="en-US" w:eastAsia="en-GB"/>
        </w:rPr>
        <w:t xml:space="preserve"> followed by B3 - Brasil Bolsa Balcão (</w:t>
      </w:r>
      <w:r w:rsidRPr="000506C1">
        <w:rPr>
          <w:rFonts w:ascii="Palatino Linotype" w:eastAsia="Times New Roman" w:hAnsi="Palatino Linotype"/>
          <w:bCs/>
          <w:sz w:val="22"/>
          <w:szCs w:val="22"/>
          <w:lang w:val="en-US" w:eastAsia="en-GB"/>
        </w:rPr>
        <w:t>76,276,174)</w:t>
      </w:r>
      <w:r w:rsidRPr="00272724">
        <w:rPr>
          <w:rFonts w:ascii="Palatino Linotype" w:eastAsia="Times New Roman" w:hAnsi="Palatino Linotype"/>
          <w:bCs/>
          <w:sz w:val="22"/>
          <w:szCs w:val="22"/>
          <w:lang w:val="en-US" w:eastAsia="en-GB"/>
        </w:rPr>
        <w:t>. The highest number of currency options were traded at NSE (</w:t>
      </w:r>
      <w:r w:rsidRPr="000506C1">
        <w:rPr>
          <w:rFonts w:ascii="Palatino Linotype" w:eastAsia="Times New Roman" w:hAnsi="Palatino Linotype"/>
          <w:bCs/>
          <w:sz w:val="22"/>
          <w:szCs w:val="22"/>
          <w:lang w:val="en-US" w:eastAsia="en-GB"/>
        </w:rPr>
        <w:t>68,469,574)</w:t>
      </w:r>
      <w:r w:rsidRPr="00272724">
        <w:rPr>
          <w:rFonts w:ascii="Palatino Linotype" w:eastAsia="Times New Roman" w:hAnsi="Palatino Linotype"/>
          <w:bCs/>
          <w:sz w:val="22"/>
          <w:szCs w:val="22"/>
          <w:lang w:val="en-US" w:eastAsia="en-GB"/>
        </w:rPr>
        <w:t xml:space="preserve"> followed by Moscow Exchange (</w:t>
      </w:r>
      <w:r w:rsidRPr="000506C1">
        <w:rPr>
          <w:rFonts w:ascii="Palatino Linotype" w:eastAsia="Times New Roman" w:hAnsi="Palatino Linotype"/>
          <w:bCs/>
          <w:sz w:val="22"/>
          <w:szCs w:val="22"/>
          <w:lang w:val="en-US" w:eastAsia="en-GB"/>
        </w:rPr>
        <w:t>1,913,729)</w:t>
      </w:r>
      <w:r w:rsidRPr="00272724">
        <w:rPr>
          <w:rFonts w:ascii="Palatino Linotype" w:eastAsia="Times New Roman" w:hAnsi="Palatino Linotype"/>
          <w:bCs/>
          <w:sz w:val="22"/>
          <w:szCs w:val="22"/>
          <w:lang w:val="en-US" w:eastAsia="en-GB"/>
        </w:rPr>
        <w:t>.</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the highest number of interest rate futures and interest rate options contracts were traded at CME Group (</w:t>
      </w:r>
      <w:r w:rsidRPr="00C7584E">
        <w:rPr>
          <w:rFonts w:ascii="Palatino Linotype" w:eastAsia="Times New Roman" w:hAnsi="Palatino Linotype"/>
          <w:bCs/>
          <w:sz w:val="22"/>
          <w:szCs w:val="22"/>
          <w:lang w:val="en-US" w:eastAsia="en-GB"/>
        </w:rPr>
        <w:t xml:space="preserve">148,097,617 </w:t>
      </w:r>
      <w:r>
        <w:rPr>
          <w:rFonts w:ascii="Palatino Linotype" w:eastAsia="Times New Roman" w:hAnsi="Palatino Linotype"/>
          <w:bCs/>
          <w:sz w:val="22"/>
          <w:szCs w:val="22"/>
          <w:lang w:val="en-US" w:eastAsia="en-GB"/>
        </w:rPr>
        <w:t>and</w:t>
      </w:r>
      <w:r w:rsidRPr="00C7584E">
        <w:rPr>
          <w:rFonts w:ascii="Palatino Linotype" w:eastAsia="Times New Roman" w:hAnsi="Palatino Linotype"/>
          <w:bCs/>
          <w:sz w:val="22"/>
          <w:szCs w:val="22"/>
          <w:lang w:val="en-US" w:eastAsia="en-GB"/>
        </w:rPr>
        <w:t xml:space="preserve"> 26,904,308</w:t>
      </w:r>
      <w:r w:rsidRPr="004B1AB4">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respectively) followed by B3 - Brasil Bolsa Balcão (</w:t>
      </w:r>
      <w:r w:rsidRPr="00C7584E">
        <w:rPr>
          <w:rFonts w:ascii="Palatino Linotype" w:eastAsia="Times New Roman" w:hAnsi="Palatino Linotype"/>
          <w:bCs/>
          <w:sz w:val="22"/>
          <w:szCs w:val="22"/>
          <w:lang w:val="en-US" w:eastAsia="en-GB"/>
        </w:rPr>
        <w:t xml:space="preserve">39,443,697 </w:t>
      </w:r>
      <w:r>
        <w:rPr>
          <w:rFonts w:ascii="Palatino Linotype" w:eastAsia="Times New Roman" w:hAnsi="Palatino Linotype"/>
          <w:bCs/>
          <w:sz w:val="22"/>
          <w:szCs w:val="22"/>
          <w:lang w:val="en-US" w:eastAsia="en-GB"/>
        </w:rPr>
        <w:t>and</w:t>
      </w:r>
      <w:r w:rsidRPr="00C7584E">
        <w:rPr>
          <w:rFonts w:ascii="Palatino Linotype" w:eastAsia="Times New Roman" w:hAnsi="Palatino Linotype"/>
          <w:bCs/>
          <w:sz w:val="22"/>
          <w:szCs w:val="22"/>
          <w:lang w:val="en-US" w:eastAsia="en-GB"/>
        </w:rPr>
        <w:t xml:space="preserve"> 13,179,627</w:t>
      </w:r>
      <w:r w:rsidRPr="004B1AB4">
        <w:rPr>
          <w:rFonts w:ascii="Palatino Linotype" w:eastAsia="Times New Roman" w:hAnsi="Palatino Linotype"/>
          <w:bCs/>
          <w:sz w:val="22"/>
          <w:szCs w:val="22"/>
          <w:lang w:val="en-US" w:eastAsia="en-GB"/>
        </w:rPr>
        <w:t xml:space="preserve"> </w:t>
      </w:r>
      <w:r w:rsidRPr="00272724">
        <w:rPr>
          <w:rFonts w:ascii="Palatino Linotype" w:eastAsia="Times New Roman" w:hAnsi="Palatino Linotype"/>
          <w:bCs/>
          <w:sz w:val="22"/>
          <w:szCs w:val="22"/>
          <w:lang w:val="en-US" w:eastAsia="en-GB"/>
        </w:rPr>
        <w:t xml:space="preserve">respectively). </w:t>
      </w:r>
    </w:p>
    <w:p w:rsidR="000B2BC5" w:rsidRPr="00272724" w:rsidRDefault="000B2BC5" w:rsidP="000B2BC5">
      <w:pPr>
        <w:numPr>
          <w:ilvl w:val="0"/>
          <w:numId w:val="16"/>
        </w:numPr>
        <w:spacing w:line="276" w:lineRule="auto"/>
        <w:jc w:val="both"/>
        <w:rPr>
          <w:rFonts w:ascii="Palatino Linotype" w:eastAsia="Times New Roman" w:hAnsi="Palatino Linotype"/>
          <w:bCs/>
          <w:sz w:val="22"/>
          <w:szCs w:val="22"/>
          <w:lang w:val="en-US" w:eastAsia="en-GB"/>
        </w:rPr>
      </w:pPr>
      <w:r w:rsidRPr="00272724">
        <w:rPr>
          <w:rFonts w:ascii="Palatino Linotype" w:eastAsia="Times New Roman" w:hAnsi="Palatino Linotype"/>
          <w:bCs/>
          <w:sz w:val="22"/>
          <w:szCs w:val="22"/>
          <w:lang w:val="en-US" w:eastAsia="en-GB"/>
        </w:rPr>
        <w:t>The highest number of commodity futures contracts were traded at Dalian Commodity Exchange (</w:t>
      </w:r>
      <w:r w:rsidRPr="00EC1D35">
        <w:rPr>
          <w:rFonts w:ascii="Palatino Linotype" w:eastAsia="Times New Roman" w:hAnsi="Palatino Linotype"/>
          <w:bCs/>
          <w:sz w:val="22"/>
          <w:szCs w:val="22"/>
          <w:lang w:val="en-US" w:eastAsia="en-GB"/>
        </w:rPr>
        <w:t>239,972,170)</w:t>
      </w:r>
      <w:r w:rsidRPr="00272724">
        <w:rPr>
          <w:rFonts w:ascii="Palatino Linotype" w:eastAsia="Times New Roman" w:hAnsi="Palatino Linotype"/>
          <w:bCs/>
          <w:sz w:val="22"/>
          <w:szCs w:val="22"/>
          <w:lang w:val="en-US" w:eastAsia="en-GB"/>
        </w:rPr>
        <w:t xml:space="preserve"> followed by </w:t>
      </w:r>
      <w:r w:rsidRPr="00C27A07">
        <w:rPr>
          <w:rFonts w:ascii="Palatino Linotype" w:eastAsia="Times New Roman" w:hAnsi="Palatino Linotype"/>
          <w:bCs/>
          <w:sz w:val="22"/>
          <w:szCs w:val="22"/>
          <w:lang w:val="en-US" w:eastAsia="en-GB"/>
        </w:rPr>
        <w:t>Zhengzhou Commodity Exchange</w:t>
      </w:r>
      <w:r w:rsidRPr="00272724">
        <w:rPr>
          <w:rFonts w:ascii="Palatino Linotype" w:eastAsia="Times New Roman" w:hAnsi="Palatino Linotype"/>
          <w:bCs/>
          <w:sz w:val="22"/>
          <w:szCs w:val="22"/>
          <w:lang w:val="en-US" w:eastAsia="en-GB"/>
        </w:rPr>
        <w:t xml:space="preserve"> (</w:t>
      </w:r>
      <w:r w:rsidRPr="00EC1D35">
        <w:rPr>
          <w:rFonts w:ascii="Palatino Linotype" w:eastAsia="Times New Roman" w:hAnsi="Palatino Linotype"/>
          <w:bCs/>
          <w:sz w:val="22"/>
          <w:szCs w:val="22"/>
          <w:lang w:val="en-US" w:eastAsia="en-GB"/>
        </w:rPr>
        <w:t>192,527,720)</w:t>
      </w:r>
      <w:r w:rsidRPr="00272724">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Among the commodity options the highest number of contracts were traded at CME Group (</w:t>
      </w:r>
      <w:r w:rsidRPr="00EC1D35">
        <w:rPr>
          <w:rFonts w:ascii="Palatino Linotype" w:eastAsia="Times New Roman" w:hAnsi="Palatino Linotype"/>
          <w:bCs/>
          <w:sz w:val="22"/>
          <w:szCs w:val="22"/>
          <w:lang w:val="en-US" w:eastAsia="en-GB"/>
        </w:rPr>
        <w:t>12,557,077)</w:t>
      </w:r>
      <w:r w:rsidRPr="00272724">
        <w:rPr>
          <w:rFonts w:ascii="Palatino Linotype" w:eastAsia="Times New Roman" w:hAnsi="Palatino Linotype"/>
          <w:bCs/>
          <w:sz w:val="22"/>
          <w:szCs w:val="22"/>
          <w:lang w:val="en-US" w:eastAsia="en-GB"/>
        </w:rPr>
        <w:t xml:space="preserve"> followed by Dalian Commodity Exchange (</w:t>
      </w:r>
      <w:r w:rsidRPr="00EC1D35">
        <w:rPr>
          <w:rFonts w:ascii="Palatino Linotype" w:eastAsia="Times New Roman" w:hAnsi="Palatino Linotype"/>
          <w:bCs/>
          <w:sz w:val="22"/>
          <w:szCs w:val="22"/>
          <w:lang w:val="en-US" w:eastAsia="en-GB"/>
        </w:rPr>
        <w:t>8,334,196)</w:t>
      </w:r>
      <w:r w:rsidRPr="00272724">
        <w:rPr>
          <w:rFonts w:ascii="Palatino Linotype" w:eastAsia="Times New Roman" w:hAnsi="Palatino Linotype"/>
          <w:bCs/>
          <w:sz w:val="22"/>
          <w:szCs w:val="22"/>
          <w:lang w:val="en-US" w:eastAsia="en-GB"/>
        </w:rPr>
        <w:t xml:space="preserve"> during the same period.</w:t>
      </w:r>
    </w:p>
    <w:p w:rsidR="000B2BC5" w:rsidRPr="00B17E08" w:rsidRDefault="000B2BC5" w:rsidP="000B2BC5">
      <w:pPr>
        <w:numPr>
          <w:ilvl w:val="0"/>
          <w:numId w:val="16"/>
        </w:numPr>
        <w:spacing w:line="276" w:lineRule="auto"/>
        <w:ind w:hanging="357"/>
        <w:contextualSpacing/>
        <w:jc w:val="both"/>
        <w:rPr>
          <w:rFonts w:ascii="Palatino Linotype" w:hAnsi="Palatino Linotype"/>
          <w:bCs/>
          <w:strike/>
          <w:sz w:val="22"/>
          <w:szCs w:val="22"/>
          <w:lang w:val="en-US"/>
        </w:rPr>
      </w:pPr>
      <w:r w:rsidRPr="00B17E08">
        <w:rPr>
          <w:rFonts w:ascii="Palatino Linotype" w:eastAsia="Times New Roman" w:hAnsi="Palatino Linotype"/>
          <w:bCs/>
          <w:sz w:val="22"/>
          <w:szCs w:val="22"/>
          <w:lang w:val="en-US" w:eastAsia="en-GB"/>
        </w:rPr>
        <w:t>In November 2020, all analysed</w:t>
      </w:r>
      <w:r w:rsidRPr="00272724">
        <w:rPr>
          <w:rFonts w:ascii="Palatino Linotype" w:eastAsia="Times New Roman" w:hAnsi="Palatino Linotype"/>
          <w:bCs/>
          <w:sz w:val="22"/>
          <w:szCs w:val="22"/>
          <w:vertAlign w:val="superscript"/>
          <w:lang w:val="en-US" w:eastAsia="en-GB"/>
        </w:rPr>
        <w:footnoteReference w:id="8"/>
      </w:r>
      <w:r w:rsidRPr="00B17E08">
        <w:rPr>
          <w:rFonts w:ascii="Palatino Linotype" w:eastAsia="Times New Roman" w:hAnsi="Palatino Linotype"/>
          <w:bCs/>
          <w:sz w:val="22"/>
          <w:szCs w:val="22"/>
          <w:lang w:val="en-US" w:eastAsia="en-GB"/>
        </w:rPr>
        <w:t xml:space="preserve"> currencies appreciated against dollar. Rand</w:t>
      </w:r>
      <w:r w:rsidRPr="00355D9D">
        <w:rPr>
          <w:rFonts w:ascii="Palatino Linotype" w:eastAsia="Times New Roman" w:hAnsi="Palatino Linotype"/>
          <w:bCs/>
          <w:sz w:val="22"/>
          <w:szCs w:val="22"/>
          <w:lang w:val="en-US" w:eastAsia="en-GB"/>
        </w:rPr>
        <w:t xml:space="preserve"> </w:t>
      </w:r>
      <w:r w:rsidRPr="00B17E08">
        <w:rPr>
          <w:rFonts w:ascii="Palatino Linotype" w:eastAsia="Times New Roman" w:hAnsi="Palatino Linotype"/>
          <w:bCs/>
          <w:sz w:val="22"/>
          <w:szCs w:val="22"/>
          <w:lang w:val="en-US" w:eastAsia="en-GB"/>
        </w:rPr>
        <w:t xml:space="preserve">and Real were most appreciating currencies against dollar among the analysed </w:t>
      </w:r>
      <w:r>
        <w:rPr>
          <w:rFonts w:ascii="Palatino Linotype" w:eastAsia="Times New Roman" w:hAnsi="Palatino Linotype"/>
          <w:bCs/>
          <w:sz w:val="22"/>
          <w:szCs w:val="22"/>
          <w:lang w:val="en-US" w:eastAsia="en-GB"/>
        </w:rPr>
        <w:t>currencies.</w:t>
      </w:r>
    </w:p>
    <w:p w:rsidR="000B2BC5" w:rsidRPr="00272724" w:rsidRDefault="000B2BC5" w:rsidP="000B2BC5">
      <w:pPr>
        <w:spacing w:line="276" w:lineRule="auto"/>
        <w:outlineLvl w:val="0"/>
        <w:rPr>
          <w:rFonts w:ascii="Palatino Linotype" w:eastAsia="Times New Roman" w:hAnsi="Palatino Linotype"/>
          <w:b/>
          <w:strike/>
          <w:sz w:val="22"/>
          <w:szCs w:val="22"/>
          <w:u w:val="single"/>
        </w:rPr>
      </w:pPr>
    </w:p>
    <w:p w:rsidR="000B2BC5" w:rsidRPr="00272724" w:rsidRDefault="000B2BC5" w:rsidP="000B2BC5">
      <w:pPr>
        <w:spacing w:line="276" w:lineRule="auto"/>
        <w:outlineLvl w:val="0"/>
        <w:rPr>
          <w:rFonts w:ascii="Palatino Linotype" w:eastAsia="Times New Roman" w:hAnsi="Palatino Linotype"/>
          <w:b/>
          <w:sz w:val="22"/>
          <w:szCs w:val="22"/>
          <w:lang w:eastAsia="en-GB"/>
        </w:rPr>
      </w:pPr>
      <w:r w:rsidRPr="00272724">
        <w:rPr>
          <w:rFonts w:ascii="Palatino Linotype" w:eastAsia="Times New Roman" w:hAnsi="Palatino Linotype"/>
          <w:b/>
          <w:sz w:val="22"/>
          <w:szCs w:val="22"/>
          <w:u w:val="single"/>
        </w:rPr>
        <w:t xml:space="preserve">US Treasury Securities </w:t>
      </w:r>
      <w:r w:rsidRPr="00272724">
        <w:rPr>
          <w:rFonts w:ascii="Palatino Linotype" w:eastAsia="Times New Roman" w:hAnsi="Palatino Linotype"/>
          <w:b/>
          <w:sz w:val="22"/>
          <w:szCs w:val="22"/>
          <w:lang w:eastAsia="en-GB"/>
        </w:rPr>
        <w:t>(Table A9)</w:t>
      </w:r>
    </w:p>
    <w:p w:rsidR="000B2BC5" w:rsidRPr="00272724" w:rsidRDefault="000B2BC5" w:rsidP="000B2BC5">
      <w:pPr>
        <w:spacing w:line="276" w:lineRule="auto"/>
        <w:outlineLvl w:val="0"/>
        <w:rPr>
          <w:rFonts w:ascii="Palatino Linotype" w:hAnsi="Palatino Linotype"/>
          <w:bCs/>
          <w:sz w:val="22"/>
          <w:szCs w:val="22"/>
        </w:rPr>
      </w:pPr>
    </w:p>
    <w:p w:rsidR="000B2BC5" w:rsidRPr="00272724" w:rsidRDefault="000B2BC5" w:rsidP="000B2BC5">
      <w:pPr>
        <w:numPr>
          <w:ilvl w:val="0"/>
          <w:numId w:val="16"/>
        </w:numPr>
        <w:spacing w:line="276" w:lineRule="auto"/>
        <w:contextualSpacing/>
        <w:jc w:val="both"/>
        <w:rPr>
          <w:rFonts w:ascii="Palatino Linotype" w:hAnsi="Palatino Linotype"/>
          <w:bCs/>
          <w:strike/>
          <w:sz w:val="22"/>
          <w:szCs w:val="22"/>
          <w:lang w:val="en-US"/>
        </w:rPr>
      </w:pPr>
      <w:r w:rsidRPr="00272724">
        <w:rPr>
          <w:rFonts w:ascii="Palatino Linotype" w:eastAsia="Times New Roman" w:hAnsi="Palatino Linotype"/>
          <w:bCs/>
          <w:sz w:val="22"/>
          <w:szCs w:val="22"/>
          <w:lang w:val="en-US" w:eastAsia="en-GB"/>
        </w:rPr>
        <w:t xml:space="preserve">At the end of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Japan was the biggest foreign holder of US Treasury Securities with </w:t>
      </w:r>
      <w:r>
        <w:rPr>
          <w:rFonts w:ascii="Palatino Linotype" w:eastAsia="Times New Roman" w:hAnsi="Palatino Linotype"/>
          <w:bCs/>
          <w:sz w:val="22"/>
          <w:szCs w:val="22"/>
          <w:lang w:val="en-US" w:eastAsia="en-GB"/>
        </w:rPr>
        <w:t>17.9</w:t>
      </w:r>
      <w:r w:rsidRPr="00272724">
        <w:rPr>
          <w:rFonts w:ascii="Palatino Linotype" w:eastAsia="Times New Roman" w:hAnsi="Palatino Linotype"/>
          <w:bCs/>
          <w:sz w:val="22"/>
          <w:szCs w:val="22"/>
          <w:lang w:val="en-US" w:eastAsia="en-GB"/>
        </w:rPr>
        <w:t xml:space="preserve"> per cent followed by China with </w:t>
      </w:r>
      <w:r>
        <w:rPr>
          <w:rFonts w:ascii="Palatino Linotype" w:eastAsia="Times New Roman" w:hAnsi="Palatino Linotype"/>
          <w:bCs/>
          <w:sz w:val="22"/>
          <w:szCs w:val="22"/>
          <w:lang w:val="en-US" w:eastAsia="en-GB"/>
        </w:rPr>
        <w:t>15.1</w:t>
      </w:r>
      <w:r w:rsidRPr="00272724">
        <w:rPr>
          <w:rFonts w:ascii="Palatino Linotype" w:eastAsia="Times New Roman" w:hAnsi="Palatino Linotype"/>
          <w:bCs/>
          <w:sz w:val="22"/>
          <w:szCs w:val="22"/>
          <w:lang w:val="en-US" w:eastAsia="en-GB"/>
        </w:rPr>
        <w:t xml:space="preserve"> per cent. The total foreign holding of US Treasury Securities </w:t>
      </w:r>
      <w:r>
        <w:rPr>
          <w:rFonts w:ascii="Palatino Linotype" w:eastAsia="Times New Roman" w:hAnsi="Palatino Linotype"/>
          <w:bCs/>
          <w:sz w:val="22"/>
          <w:szCs w:val="22"/>
          <w:lang w:val="en-US" w:eastAsia="en-GB"/>
        </w:rPr>
        <w:t>at the end of</w:t>
      </w:r>
      <w:r w:rsidRPr="00272724">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was USD 7</w:t>
      </w:r>
      <w:r>
        <w:rPr>
          <w:rFonts w:ascii="Palatino Linotype" w:eastAsia="Times New Roman" w:hAnsi="Palatino Linotype"/>
          <w:bCs/>
          <w:sz w:val="22"/>
          <w:szCs w:val="22"/>
          <w:lang w:val="en-US" w:eastAsia="en-GB"/>
        </w:rPr>
        <w:t>,</w:t>
      </w:r>
      <w:r w:rsidRPr="00272724">
        <w:rPr>
          <w:rFonts w:ascii="Palatino Linotype" w:eastAsia="Times New Roman" w:hAnsi="Palatino Linotype"/>
          <w:bCs/>
          <w:sz w:val="22"/>
          <w:szCs w:val="22"/>
          <w:lang w:val="en-US" w:eastAsia="en-GB"/>
        </w:rPr>
        <w:t>0</w:t>
      </w:r>
      <w:r>
        <w:rPr>
          <w:rFonts w:ascii="Palatino Linotype" w:eastAsia="Times New Roman" w:hAnsi="Palatino Linotype"/>
          <w:bCs/>
          <w:sz w:val="22"/>
          <w:szCs w:val="22"/>
          <w:lang w:val="en-US" w:eastAsia="en-GB"/>
        </w:rPr>
        <w:t>53</w:t>
      </w:r>
      <w:r w:rsidRPr="00272724">
        <w:rPr>
          <w:rFonts w:ascii="Palatino Linotype" w:eastAsia="Times New Roman" w:hAnsi="Palatino Linotype"/>
          <w:bCs/>
          <w:sz w:val="22"/>
          <w:szCs w:val="22"/>
          <w:lang w:val="en-US" w:eastAsia="en-GB"/>
        </w:rPr>
        <w:t xml:space="preserve"> billion. The holdings of US Treasury Securities by India </w:t>
      </w:r>
      <w:r>
        <w:rPr>
          <w:rFonts w:ascii="Palatino Linotype" w:eastAsia="Times New Roman" w:hAnsi="Palatino Linotype"/>
          <w:bCs/>
          <w:sz w:val="22"/>
          <w:szCs w:val="22"/>
          <w:lang w:val="en-US" w:eastAsia="en-GB"/>
        </w:rPr>
        <w:t>remained same at</w:t>
      </w:r>
      <w:r w:rsidRPr="00272724">
        <w:rPr>
          <w:rFonts w:ascii="Palatino Linotype" w:eastAsia="Times New Roman" w:hAnsi="Palatino Linotype"/>
          <w:bCs/>
          <w:sz w:val="22"/>
          <w:szCs w:val="22"/>
          <w:lang w:val="en-US" w:eastAsia="en-GB"/>
        </w:rPr>
        <w:t xml:space="preserve"> 3.</w:t>
      </w:r>
      <w:r>
        <w:rPr>
          <w:rFonts w:ascii="Palatino Linotype" w:eastAsia="Times New Roman" w:hAnsi="Palatino Linotype"/>
          <w:bCs/>
          <w:sz w:val="22"/>
          <w:szCs w:val="22"/>
          <w:lang w:val="en-US" w:eastAsia="en-GB"/>
        </w:rPr>
        <w:t>1</w:t>
      </w:r>
      <w:r w:rsidRPr="00272724">
        <w:rPr>
          <w:rFonts w:ascii="Palatino Linotype" w:eastAsia="Times New Roman" w:hAnsi="Palatino Linotype"/>
          <w:bCs/>
          <w:sz w:val="22"/>
          <w:szCs w:val="22"/>
          <w:lang w:val="en-US" w:eastAsia="en-GB"/>
        </w:rPr>
        <w:t xml:space="preserve"> per cent at the end of </w:t>
      </w:r>
      <w:r>
        <w:rPr>
          <w:rFonts w:ascii="Palatino Linotype" w:eastAsia="Times New Roman" w:hAnsi="Palatino Linotype"/>
          <w:bCs/>
          <w:sz w:val="22"/>
          <w:szCs w:val="22"/>
          <w:lang w:val="en-US" w:eastAsia="en-GB"/>
        </w:rPr>
        <w:t>November</w:t>
      </w:r>
      <w:r w:rsidRPr="00272724">
        <w:rPr>
          <w:rFonts w:ascii="Palatino Linotype" w:eastAsia="Times New Roman" w:hAnsi="Palatino Linotype"/>
          <w:bCs/>
          <w:sz w:val="22"/>
          <w:szCs w:val="22"/>
          <w:lang w:val="en-US" w:eastAsia="en-GB"/>
        </w:rPr>
        <w:t xml:space="preserve"> 2020 </w:t>
      </w:r>
      <w:r>
        <w:rPr>
          <w:rFonts w:ascii="Palatino Linotype" w:eastAsia="Times New Roman" w:hAnsi="Palatino Linotype"/>
          <w:bCs/>
          <w:sz w:val="22"/>
          <w:szCs w:val="22"/>
          <w:lang w:val="en-US" w:eastAsia="en-GB"/>
        </w:rPr>
        <w:t>against</w:t>
      </w:r>
      <w:r w:rsidRPr="00272724">
        <w:rPr>
          <w:rFonts w:ascii="Palatino Linotype" w:eastAsia="Times New Roman" w:hAnsi="Palatino Linotype"/>
          <w:bCs/>
          <w:sz w:val="22"/>
          <w:szCs w:val="22"/>
          <w:lang w:val="en-US" w:eastAsia="en-GB"/>
        </w:rPr>
        <w:t xml:space="preserve"> a month earlier.</w:t>
      </w:r>
    </w:p>
    <w:p w:rsidR="000B2BC5" w:rsidRPr="00272724" w:rsidRDefault="000B2BC5" w:rsidP="000B2BC5">
      <w:pPr>
        <w:rPr>
          <w:rFonts w:ascii="Garamond" w:hAnsi="Garamond"/>
          <w:b/>
          <w:bCs/>
          <w:szCs w:val="22"/>
        </w:rPr>
      </w:pPr>
    </w:p>
    <w:p w:rsidR="000B2BC5" w:rsidRPr="00272724" w:rsidRDefault="000B2BC5" w:rsidP="000B2BC5">
      <w:pPr>
        <w:rPr>
          <w:rFonts w:ascii="Garamond" w:hAnsi="Garamond"/>
          <w:b/>
          <w:bCs/>
          <w:szCs w:val="22"/>
        </w:rPr>
      </w:pPr>
    </w:p>
    <w:p w:rsidR="000B2BC5" w:rsidRPr="00272724" w:rsidRDefault="000B2BC5" w:rsidP="000B2BC5">
      <w:pPr>
        <w:rPr>
          <w:rFonts w:ascii="Garamond" w:hAnsi="Garamond"/>
          <w:bCs/>
          <w:szCs w:val="22"/>
        </w:rPr>
      </w:pPr>
      <w:r w:rsidRPr="00272724">
        <w:rPr>
          <w:rFonts w:ascii="Garamond" w:hAnsi="Garamond"/>
          <w:b/>
          <w:bCs/>
          <w:szCs w:val="22"/>
        </w:rPr>
        <w:t>Figure 5: Movement of the Major Currencies against USD</w:t>
      </w:r>
    </w:p>
    <w:p w:rsidR="000B2BC5" w:rsidRPr="00272724" w:rsidRDefault="000B2BC5" w:rsidP="000B2BC5">
      <w:pPr>
        <w:spacing w:line="23" w:lineRule="atLeast"/>
        <w:jc w:val="both"/>
        <w:rPr>
          <w:rFonts w:ascii="Garamond" w:hAnsi="Garamond"/>
          <w:bCs/>
          <w:sz w:val="18"/>
          <w:szCs w:val="18"/>
        </w:rPr>
      </w:pPr>
      <w:r w:rsidRPr="00415B9F">
        <w:rPr>
          <w:rFonts w:ascii="Garamond" w:hAnsi="Garamond"/>
          <w:bCs/>
          <w:noProof/>
          <w:sz w:val="18"/>
          <w:szCs w:val="18"/>
          <w:lang w:val="en-IN" w:eastAsia="en-IN" w:bidi="hi-IN"/>
        </w:rPr>
        <w:drawing>
          <wp:inline distT="0" distB="0" distL="0" distR="0">
            <wp:extent cx="6324600" cy="363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600" cy="3638550"/>
                    </a:xfrm>
                    <a:prstGeom prst="rect">
                      <a:avLst/>
                    </a:prstGeom>
                    <a:noFill/>
                    <a:ln>
                      <a:noFill/>
                    </a:ln>
                  </pic:spPr>
                </pic:pic>
              </a:graphicData>
            </a:graphic>
          </wp:inline>
        </w:drawing>
      </w:r>
    </w:p>
    <w:p w:rsidR="000B2BC5" w:rsidRPr="00272724" w:rsidRDefault="000B2BC5" w:rsidP="000B2BC5">
      <w:pPr>
        <w:spacing w:line="23" w:lineRule="atLeast"/>
        <w:jc w:val="both"/>
        <w:rPr>
          <w:rFonts w:ascii="Garamond" w:hAnsi="Garamond"/>
          <w:bCs/>
          <w:sz w:val="18"/>
          <w:szCs w:val="18"/>
        </w:rPr>
      </w:pPr>
      <w:r w:rsidRPr="00272724">
        <w:rPr>
          <w:rFonts w:ascii="Garamond" w:hAnsi="Garamond"/>
          <w:bCs/>
          <w:sz w:val="18"/>
          <w:szCs w:val="18"/>
        </w:rPr>
        <w:t xml:space="preserve">Note: All indices have been normalised to 100 on </w:t>
      </w:r>
      <w:r>
        <w:rPr>
          <w:rFonts w:ascii="Garamond" w:hAnsi="Garamond"/>
          <w:bCs/>
          <w:sz w:val="18"/>
          <w:szCs w:val="18"/>
        </w:rPr>
        <w:t>31 December</w:t>
      </w:r>
      <w:r w:rsidRPr="00272724">
        <w:rPr>
          <w:rFonts w:ascii="Garamond" w:hAnsi="Garamond"/>
          <w:bCs/>
          <w:sz w:val="18"/>
          <w:szCs w:val="18"/>
        </w:rPr>
        <w:t xml:space="preserve"> 2019.</w:t>
      </w:r>
    </w:p>
    <w:p w:rsidR="000B2BC5" w:rsidRPr="00272724" w:rsidRDefault="000B2BC5" w:rsidP="000B2BC5">
      <w:pPr>
        <w:spacing w:line="23" w:lineRule="atLeast"/>
        <w:outlineLvl w:val="0"/>
        <w:rPr>
          <w:rFonts w:ascii="Garamond" w:hAnsi="Garamond"/>
          <w:bCs/>
          <w:sz w:val="18"/>
          <w:szCs w:val="18"/>
        </w:rPr>
      </w:pPr>
      <w:r w:rsidRPr="00272724">
        <w:rPr>
          <w:rFonts w:ascii="Garamond" w:hAnsi="Garamond"/>
          <w:bCs/>
          <w:sz w:val="18"/>
          <w:szCs w:val="18"/>
        </w:rPr>
        <w:t>Source: Bloomberg</w:t>
      </w:r>
    </w:p>
    <w:p w:rsidR="000B2BC5" w:rsidRDefault="000B2BC5" w:rsidP="000B2BC5">
      <w:pPr>
        <w:rPr>
          <w:rFonts w:ascii="Garamond" w:hAnsi="Garamond"/>
          <w:b/>
          <w:bCs/>
          <w:szCs w:val="22"/>
        </w:rPr>
      </w:pPr>
    </w:p>
    <w:p w:rsidR="000B2BC5" w:rsidRPr="00272724" w:rsidRDefault="000B2BC5" w:rsidP="000B2BC5">
      <w:pPr>
        <w:rPr>
          <w:rFonts w:ascii="Garamond" w:hAnsi="Garamond"/>
          <w:b/>
          <w:bCs/>
          <w:szCs w:val="22"/>
        </w:rPr>
      </w:pPr>
      <w:r w:rsidRPr="00272724">
        <w:rPr>
          <w:rFonts w:ascii="Garamond" w:hAnsi="Garamond"/>
          <w:b/>
          <w:bCs/>
          <w:szCs w:val="22"/>
        </w:rPr>
        <w:t>Figure 6: Movement of the US Dollar Index and MSCI EM Currency Index</w:t>
      </w:r>
    </w:p>
    <w:p w:rsidR="000B2BC5" w:rsidRPr="00272724" w:rsidRDefault="000B2BC5" w:rsidP="000B2BC5">
      <w:pPr>
        <w:spacing w:line="23" w:lineRule="atLeast"/>
        <w:outlineLvl w:val="0"/>
        <w:rPr>
          <w:rFonts w:ascii="Garamond" w:hAnsi="Garamond"/>
          <w:bCs/>
          <w:sz w:val="22"/>
          <w:szCs w:val="22"/>
        </w:rPr>
      </w:pPr>
    </w:p>
    <w:p w:rsidR="000B2BC5" w:rsidRPr="00272724" w:rsidRDefault="000B2BC5" w:rsidP="000B2BC5">
      <w:pPr>
        <w:spacing w:line="23" w:lineRule="atLeast"/>
        <w:outlineLvl w:val="0"/>
        <w:rPr>
          <w:rFonts w:ascii="Garamond" w:hAnsi="Garamond"/>
          <w:bCs/>
          <w:sz w:val="22"/>
          <w:szCs w:val="22"/>
        </w:rPr>
      </w:pPr>
      <w:r w:rsidRPr="00415B9F">
        <w:rPr>
          <w:rFonts w:ascii="Garamond" w:hAnsi="Garamond"/>
          <w:bCs/>
          <w:noProof/>
          <w:sz w:val="22"/>
          <w:szCs w:val="22"/>
          <w:lang w:val="en-IN" w:eastAsia="en-IN" w:bidi="hi-IN"/>
        </w:rPr>
        <w:drawing>
          <wp:inline distT="0" distB="0" distL="0" distR="0">
            <wp:extent cx="63436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3650" cy="2914650"/>
                    </a:xfrm>
                    <a:prstGeom prst="rect">
                      <a:avLst/>
                    </a:prstGeom>
                    <a:noFill/>
                    <a:ln>
                      <a:noFill/>
                    </a:ln>
                  </pic:spPr>
                </pic:pic>
              </a:graphicData>
            </a:graphic>
          </wp:inline>
        </w:drawing>
      </w:r>
    </w:p>
    <w:p w:rsidR="000B2BC5" w:rsidRPr="00272724" w:rsidRDefault="000B2BC5" w:rsidP="000B2BC5">
      <w:pPr>
        <w:tabs>
          <w:tab w:val="left" w:pos="3760"/>
        </w:tabs>
        <w:spacing w:line="23" w:lineRule="atLeast"/>
        <w:rPr>
          <w:rFonts w:ascii="Garamond" w:hAnsi="Garamond"/>
          <w:bCs/>
          <w:sz w:val="18"/>
          <w:szCs w:val="18"/>
        </w:rPr>
      </w:pPr>
      <w:r w:rsidRPr="00272724">
        <w:rPr>
          <w:rFonts w:ascii="Garamond" w:hAnsi="Garamond"/>
          <w:bCs/>
          <w:sz w:val="18"/>
          <w:szCs w:val="18"/>
        </w:rPr>
        <w:t>Note:</w:t>
      </w:r>
    </w:p>
    <w:p w:rsidR="000B2BC5" w:rsidRPr="00272724" w:rsidRDefault="000B2BC5" w:rsidP="000B2BC5">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 xml:space="preserve">All indices have been normalised to 100 on </w:t>
      </w:r>
      <w:r w:rsidRPr="00EE0B11">
        <w:rPr>
          <w:rFonts w:ascii="Garamond" w:eastAsia="Times New Roman" w:hAnsi="Garamond"/>
          <w:bCs/>
          <w:sz w:val="18"/>
          <w:szCs w:val="18"/>
        </w:rPr>
        <w:t>31 December 2019</w:t>
      </w:r>
      <w:r w:rsidRPr="00272724">
        <w:rPr>
          <w:rFonts w:ascii="Garamond" w:eastAsia="Times New Roman" w:hAnsi="Garamond"/>
          <w:bCs/>
          <w:sz w:val="18"/>
          <w:szCs w:val="18"/>
        </w:rPr>
        <w:t>.</w:t>
      </w:r>
    </w:p>
    <w:p w:rsidR="000B2BC5" w:rsidRPr="00272724" w:rsidRDefault="000B2BC5" w:rsidP="000B2BC5">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0B2BC5" w:rsidRPr="00272724" w:rsidRDefault="000B2BC5" w:rsidP="000B2BC5">
      <w:pPr>
        <w:widowControl w:val="0"/>
        <w:numPr>
          <w:ilvl w:val="0"/>
          <w:numId w:val="15"/>
        </w:numPr>
        <w:autoSpaceDE w:val="0"/>
        <w:autoSpaceDN w:val="0"/>
        <w:adjustRightInd w:val="0"/>
        <w:spacing w:line="23" w:lineRule="atLeast"/>
        <w:ind w:right="1788"/>
        <w:jc w:val="both"/>
        <w:rPr>
          <w:rFonts w:ascii="Garamond" w:eastAsia="Times New Roman" w:hAnsi="Garamond"/>
          <w:bCs/>
          <w:sz w:val="18"/>
          <w:szCs w:val="18"/>
        </w:rPr>
      </w:pPr>
      <w:r w:rsidRPr="00272724">
        <w:rPr>
          <w:rFonts w:ascii="Garamond" w:eastAsia="Times New Roman" w:hAnsi="Garamond"/>
          <w:bCs/>
          <w:sz w:val="18"/>
          <w:szCs w:val="18"/>
        </w:rPr>
        <w:t>The MSCI Emerging Markets (EM) Currency Index tracks the performance of twenty-five emerging-market currencies relative to the US Dollar.</w:t>
      </w:r>
    </w:p>
    <w:p w:rsidR="000B2BC5" w:rsidRPr="00272724" w:rsidRDefault="000B2BC5" w:rsidP="000B2BC5">
      <w:pPr>
        <w:spacing w:line="23" w:lineRule="atLeast"/>
        <w:outlineLvl w:val="0"/>
        <w:rPr>
          <w:rFonts w:ascii="Garamond" w:hAnsi="Garamond"/>
          <w:bCs/>
          <w:sz w:val="18"/>
          <w:szCs w:val="18"/>
        </w:rPr>
      </w:pPr>
      <w:r w:rsidRPr="00272724">
        <w:rPr>
          <w:rFonts w:ascii="Garamond" w:hAnsi="Garamond"/>
          <w:bCs/>
          <w:sz w:val="18"/>
          <w:szCs w:val="18"/>
        </w:rPr>
        <w:t>Source: Bloomberg</w:t>
      </w: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spacing w:after="240" w:line="23" w:lineRule="atLeast"/>
        <w:jc w:val="both"/>
        <w:rPr>
          <w:rFonts w:ascii="Garamond" w:eastAsia="Times New Roman" w:hAnsi="Garamond"/>
          <w:bCs/>
          <w:strike/>
          <w:sz w:val="18"/>
          <w:szCs w:val="18"/>
          <w:lang w:eastAsia="en-GB"/>
        </w:rPr>
      </w:pPr>
    </w:p>
    <w:p w:rsidR="000B2BC5" w:rsidRPr="00272724" w:rsidRDefault="000B2BC5" w:rsidP="000B2BC5">
      <w:pPr>
        <w:rPr>
          <w:rFonts w:ascii="Garamond" w:hAnsi="Garamond"/>
          <w:b/>
          <w:bCs/>
          <w:szCs w:val="22"/>
        </w:rPr>
      </w:pPr>
      <w:r w:rsidRPr="00272724">
        <w:rPr>
          <w:rFonts w:ascii="Garamond" w:hAnsi="Garamond"/>
          <w:b/>
          <w:bCs/>
          <w:szCs w:val="22"/>
        </w:rPr>
        <w:br w:type="page"/>
      </w:r>
    </w:p>
    <w:p w:rsidR="000B2BC5" w:rsidRPr="00272724" w:rsidRDefault="000B2BC5" w:rsidP="000B2BC5">
      <w:pPr>
        <w:rPr>
          <w:rFonts w:ascii="Garamond" w:hAnsi="Garamond"/>
          <w:b/>
          <w:bCs/>
          <w:szCs w:val="22"/>
        </w:rPr>
      </w:pPr>
      <w:r w:rsidRPr="00272724">
        <w:rPr>
          <w:rFonts w:ascii="Garamond" w:hAnsi="Garamond"/>
          <w:b/>
          <w:bCs/>
          <w:szCs w:val="22"/>
        </w:rPr>
        <w:t>Table A1: Performance of Stock Indices</w:t>
      </w:r>
    </w:p>
    <w:tbl>
      <w:tblPr>
        <w:tblW w:w="11229" w:type="dxa"/>
        <w:jc w:val="center"/>
        <w:tblLook w:val="04A0" w:firstRow="1" w:lastRow="0" w:firstColumn="1" w:lastColumn="0" w:noHBand="0" w:noVBand="1"/>
      </w:tblPr>
      <w:tblGrid>
        <w:gridCol w:w="1266"/>
        <w:gridCol w:w="1801"/>
        <w:gridCol w:w="1566"/>
        <w:gridCol w:w="1116"/>
        <w:gridCol w:w="1116"/>
        <w:gridCol w:w="1101"/>
        <w:gridCol w:w="1116"/>
        <w:gridCol w:w="1312"/>
        <w:gridCol w:w="835"/>
      </w:tblGrid>
      <w:tr w:rsidR="000B2BC5" w:rsidRPr="00415B9F" w:rsidTr="00DB0339">
        <w:trPr>
          <w:trHeight w:val="199"/>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Country</w:t>
            </w:r>
          </w:p>
        </w:tc>
        <w:tc>
          <w:tcPr>
            <w:tcW w:w="1801"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Name of the Index</w:t>
            </w:r>
          </w:p>
        </w:tc>
        <w:tc>
          <w:tcPr>
            <w:tcW w:w="1566" w:type="dxa"/>
            <w:tcBorders>
              <w:top w:val="single" w:sz="8" w:space="0" w:color="auto"/>
              <w:left w:val="nil"/>
              <w:bottom w:val="nil"/>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as on</w:t>
            </w:r>
          </w:p>
        </w:tc>
        <w:tc>
          <w:tcPr>
            <w:tcW w:w="4449" w:type="dxa"/>
            <w:gridSpan w:val="4"/>
            <w:tcBorders>
              <w:top w:val="single" w:sz="8" w:space="0" w:color="auto"/>
              <w:left w:val="nil"/>
              <w:bottom w:val="single" w:sz="8" w:space="0" w:color="auto"/>
              <w:right w:val="single" w:sz="8" w:space="0" w:color="000000"/>
            </w:tcBorders>
            <w:shd w:val="clear" w:color="000000" w:fill="B4C6E7"/>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Closing Value before</w:t>
            </w:r>
          </w:p>
        </w:tc>
        <w:tc>
          <w:tcPr>
            <w:tcW w:w="131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Monthly Volatility (Annualised)</w:t>
            </w:r>
          </w:p>
        </w:tc>
        <w:tc>
          <w:tcPr>
            <w:tcW w:w="835"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P/E Ratio</w:t>
            </w:r>
          </w:p>
        </w:tc>
      </w:tr>
      <w:tr w:rsidR="000B2BC5" w:rsidRPr="00415B9F" w:rsidTr="00DB0339">
        <w:trPr>
          <w:trHeight w:val="199"/>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0B2BC5" w:rsidRPr="00272724" w:rsidRDefault="000B2BC5" w:rsidP="00DB0339">
            <w:pPr>
              <w:rPr>
                <w:rFonts w:ascii="Garamond" w:eastAsia="Times New Roman" w:hAnsi="Garamond" w:cs="Calibri"/>
                <w:b/>
                <w:bCs/>
                <w:color w:val="000000"/>
                <w:sz w:val="20"/>
                <w:szCs w:val="20"/>
                <w:lang w:val="en-IN" w:eastAsia="en-IN"/>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rsidR="000B2BC5" w:rsidRPr="00272724" w:rsidRDefault="000B2BC5" w:rsidP="00DB0339">
            <w:pPr>
              <w:rPr>
                <w:rFonts w:ascii="Garamond" w:eastAsia="Times New Roman" w:hAnsi="Garamond" w:cs="Calibri"/>
                <w:b/>
                <w:bCs/>
                <w:color w:val="000000"/>
                <w:sz w:val="20"/>
                <w:szCs w:val="20"/>
                <w:lang w:val="en-IN" w:eastAsia="en-IN"/>
              </w:rPr>
            </w:pPr>
          </w:p>
        </w:tc>
        <w:tc>
          <w:tcPr>
            <w:tcW w:w="1566" w:type="dxa"/>
            <w:tcBorders>
              <w:top w:val="nil"/>
              <w:left w:val="nil"/>
              <w:bottom w:val="single" w:sz="8" w:space="0" w:color="auto"/>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31-Dec</w:t>
            </w:r>
            <w:r w:rsidRPr="00272724">
              <w:rPr>
                <w:rFonts w:ascii="Garamond" w:eastAsia="Times New Roman" w:hAnsi="Garamond" w:cs="Calibri"/>
                <w:b/>
                <w:bCs/>
                <w:color w:val="000000"/>
                <w:sz w:val="20"/>
                <w:szCs w:val="20"/>
                <w:lang w:val="en-IN" w:eastAsia="en-IN"/>
              </w:rPr>
              <w:t>-2020</w:t>
            </w:r>
          </w:p>
        </w:tc>
        <w:tc>
          <w:tcPr>
            <w:tcW w:w="1116" w:type="dxa"/>
            <w:tcBorders>
              <w:top w:val="nil"/>
              <w:left w:val="nil"/>
              <w:bottom w:val="single" w:sz="8" w:space="0" w:color="auto"/>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1-Month</w:t>
            </w:r>
          </w:p>
        </w:tc>
        <w:tc>
          <w:tcPr>
            <w:tcW w:w="1116" w:type="dxa"/>
            <w:tcBorders>
              <w:top w:val="nil"/>
              <w:left w:val="nil"/>
              <w:bottom w:val="single" w:sz="8" w:space="0" w:color="auto"/>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3-Month</w:t>
            </w:r>
          </w:p>
        </w:tc>
        <w:tc>
          <w:tcPr>
            <w:tcW w:w="1101" w:type="dxa"/>
            <w:tcBorders>
              <w:top w:val="nil"/>
              <w:left w:val="nil"/>
              <w:bottom w:val="single" w:sz="8" w:space="0" w:color="auto"/>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6-Month</w:t>
            </w:r>
          </w:p>
        </w:tc>
        <w:tc>
          <w:tcPr>
            <w:tcW w:w="1116" w:type="dxa"/>
            <w:tcBorders>
              <w:top w:val="nil"/>
              <w:left w:val="nil"/>
              <w:bottom w:val="single" w:sz="8" w:space="0" w:color="auto"/>
              <w:right w:val="single" w:sz="8" w:space="0" w:color="auto"/>
            </w:tcBorders>
            <w:shd w:val="clear" w:color="000000" w:fill="B4C6E7"/>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1-Year</w:t>
            </w:r>
          </w:p>
        </w:tc>
        <w:tc>
          <w:tcPr>
            <w:tcW w:w="1312" w:type="dxa"/>
            <w:vMerge/>
            <w:tcBorders>
              <w:top w:val="single" w:sz="8" w:space="0" w:color="auto"/>
              <w:left w:val="single" w:sz="8" w:space="0" w:color="auto"/>
              <w:bottom w:val="single" w:sz="8" w:space="0" w:color="000000"/>
              <w:right w:val="single" w:sz="8" w:space="0" w:color="auto"/>
            </w:tcBorders>
            <w:vAlign w:val="center"/>
            <w:hideMark/>
          </w:tcPr>
          <w:p w:rsidR="000B2BC5" w:rsidRPr="00272724" w:rsidRDefault="000B2BC5" w:rsidP="00DB0339">
            <w:pPr>
              <w:rPr>
                <w:rFonts w:ascii="Garamond" w:eastAsia="Times New Roman" w:hAnsi="Garamond" w:cs="Calibri"/>
                <w:b/>
                <w:bCs/>
                <w:color w:val="000000"/>
                <w:sz w:val="20"/>
                <w:szCs w:val="20"/>
                <w:lang w:val="en-IN" w:eastAsia="en-IN"/>
              </w:rPr>
            </w:pP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0B2BC5" w:rsidRPr="00272724" w:rsidRDefault="000B2BC5" w:rsidP="00DB0339">
            <w:pPr>
              <w:rPr>
                <w:rFonts w:ascii="Garamond" w:eastAsia="Times New Roman" w:hAnsi="Garamond" w:cs="Calibri"/>
                <w:b/>
                <w:bCs/>
                <w:color w:val="000000"/>
                <w:sz w:val="20"/>
                <w:szCs w:val="20"/>
                <w:lang w:val="en-IN" w:eastAsia="en-IN"/>
              </w:rPr>
            </w:pPr>
          </w:p>
        </w:tc>
      </w:tr>
      <w:tr w:rsidR="000B2BC5" w:rsidRPr="00415B9F" w:rsidTr="00DB0339">
        <w:trPr>
          <w:trHeight w:val="199"/>
          <w:jc w:val="center"/>
        </w:trPr>
        <w:tc>
          <w:tcPr>
            <w:tcW w:w="11229"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BRICS Nations</w:t>
            </w:r>
          </w:p>
        </w:tc>
      </w:tr>
      <w:tr w:rsidR="000B2BC5" w:rsidRPr="00415B9F" w:rsidTr="00DB0339">
        <w:trPr>
          <w:trHeight w:val="298"/>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Brazil</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BRAZIL IBOVESPA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119017.2</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108893.3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94603.4</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95055.8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115645.3</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51.0</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46.2</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Russia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RUSSIAN TRADED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1802.3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1632.6</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1488.1</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1628.3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2260.4</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75.1</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12.9</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Nifty 50</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13981.8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12969.0</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11247.6</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10302.1</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12168.5</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37.5</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38.5</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E05719" w:rsidRDefault="000B2BC5" w:rsidP="00DB0339">
            <w:pPr>
              <w:rPr>
                <w:rFonts w:ascii="Garamond" w:eastAsia="Times New Roman" w:hAnsi="Garamond" w:cs="Calibri"/>
                <w:color w:val="000000"/>
                <w:sz w:val="20"/>
                <w:szCs w:val="20"/>
                <w:lang w:val="en-IN" w:eastAsia="en-IN"/>
              </w:rPr>
            </w:pPr>
            <w:r w:rsidRPr="00E05719">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0B2BC5" w:rsidRPr="00E05719" w:rsidRDefault="000B2BC5" w:rsidP="00DB0339">
            <w:pPr>
              <w:rPr>
                <w:rFonts w:ascii="Garamond" w:eastAsia="Times New Roman" w:hAnsi="Garamond" w:cs="Calibri"/>
                <w:color w:val="000000"/>
                <w:sz w:val="18"/>
                <w:szCs w:val="18"/>
                <w:lang w:val="en-IN" w:eastAsia="en-IN"/>
              </w:rPr>
            </w:pPr>
            <w:r w:rsidRPr="00E05719">
              <w:rPr>
                <w:rFonts w:ascii="Garamond" w:eastAsia="Times New Roman" w:hAnsi="Garamond" w:cs="Calibri"/>
                <w:color w:val="000000"/>
                <w:sz w:val="18"/>
                <w:szCs w:val="18"/>
                <w:lang w:val="en-IN" w:eastAsia="en-IN"/>
              </w:rPr>
              <w:t xml:space="preserve">S&amp;P BSE SENSEX </w:t>
            </w:r>
          </w:p>
        </w:tc>
        <w:tc>
          <w:tcPr>
            <w:tcW w:w="1566"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47751.3</w:t>
            </w:r>
          </w:p>
        </w:tc>
        <w:tc>
          <w:tcPr>
            <w:tcW w:w="1116"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44149.7</w:t>
            </w:r>
          </w:p>
        </w:tc>
        <w:tc>
          <w:tcPr>
            <w:tcW w:w="1116"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38067.9</w:t>
            </w:r>
          </w:p>
        </w:tc>
        <w:tc>
          <w:tcPr>
            <w:tcW w:w="1101"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34915.8</w:t>
            </w:r>
          </w:p>
        </w:tc>
        <w:tc>
          <w:tcPr>
            <w:tcW w:w="1116"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41253.7</w:t>
            </w:r>
          </w:p>
        </w:tc>
        <w:tc>
          <w:tcPr>
            <w:tcW w:w="1312"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37.6</w:t>
            </w:r>
          </w:p>
        </w:tc>
        <w:tc>
          <w:tcPr>
            <w:tcW w:w="835" w:type="dxa"/>
            <w:tcBorders>
              <w:top w:val="nil"/>
              <w:left w:val="nil"/>
              <w:bottom w:val="nil"/>
              <w:right w:val="single" w:sz="8" w:space="0" w:color="auto"/>
            </w:tcBorders>
            <w:shd w:val="clear" w:color="auto" w:fill="auto"/>
            <w:noWrap/>
            <w:hideMark/>
          </w:tcPr>
          <w:p w:rsidR="000B2BC5" w:rsidRPr="00E05719" w:rsidRDefault="000B2BC5" w:rsidP="00DB0339">
            <w:pPr>
              <w:ind w:firstLineChars="100" w:firstLine="200"/>
              <w:jc w:val="right"/>
              <w:rPr>
                <w:rFonts w:ascii="Garamond" w:hAnsi="Garamond" w:cs="Calibri"/>
                <w:sz w:val="20"/>
                <w:szCs w:val="20"/>
              </w:rPr>
            </w:pPr>
            <w:r w:rsidRPr="00E05719">
              <w:rPr>
                <w:rFonts w:ascii="Garamond" w:hAnsi="Garamond" w:cs="Calibri"/>
                <w:sz w:val="20"/>
                <w:szCs w:val="20"/>
              </w:rPr>
              <w:t>33.5</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China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SHANGHAI SE COMPOSITE</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3473.1</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3391.8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3218.1</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2984.7</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3050.1</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21.6</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15.6</w:t>
            </w:r>
          </w:p>
        </w:tc>
      </w:tr>
      <w:tr w:rsidR="000B2BC5" w:rsidRPr="00415B9F" w:rsidTr="00DB0339">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Africa</w:t>
            </w:r>
          </w:p>
        </w:tc>
        <w:tc>
          <w:tcPr>
            <w:tcW w:w="1801" w:type="dxa"/>
            <w:tcBorders>
              <w:top w:val="nil"/>
              <w:left w:val="nil"/>
              <w:bottom w:val="single" w:sz="8" w:space="0" w:color="auto"/>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FTSE/JSE AFRICA ALL SHR</w:t>
            </w:r>
          </w:p>
        </w:tc>
        <w:tc>
          <w:tcPr>
            <w:tcW w:w="156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59408.7</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57091.9</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54265.0</w:t>
            </w:r>
          </w:p>
        </w:tc>
        <w:tc>
          <w:tcPr>
            <w:tcW w:w="1101"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54362.4</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57084.1</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32.5</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14.2</w:t>
            </w:r>
          </w:p>
        </w:tc>
      </w:tr>
      <w:tr w:rsidR="000B2BC5" w:rsidRPr="00415B9F" w:rsidTr="00DB0339">
        <w:trPr>
          <w:trHeight w:val="199"/>
          <w:jc w:val="center"/>
        </w:trPr>
        <w:tc>
          <w:tcPr>
            <w:tcW w:w="11229"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0B2BC5" w:rsidRPr="00272724" w:rsidRDefault="000B2BC5" w:rsidP="00DB0339">
            <w:pPr>
              <w:jc w:val="center"/>
              <w:rPr>
                <w:rFonts w:ascii="Garamond" w:eastAsia="Times New Roman" w:hAnsi="Garamond" w:cs="Calibri"/>
                <w:b/>
                <w:bCs/>
                <w:color w:val="000000"/>
                <w:sz w:val="20"/>
                <w:szCs w:val="20"/>
                <w:lang w:val="en-IN" w:eastAsia="en-IN"/>
              </w:rPr>
            </w:pPr>
            <w:r w:rsidRPr="00272724">
              <w:rPr>
                <w:rFonts w:ascii="Garamond" w:eastAsia="Times New Roman" w:hAnsi="Garamond" w:cs="Calibri"/>
                <w:b/>
                <w:bCs/>
                <w:color w:val="000000"/>
                <w:sz w:val="20"/>
                <w:szCs w:val="20"/>
                <w:lang w:val="en-IN" w:eastAsia="en-IN"/>
              </w:rPr>
              <w:t>Developed Markets</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NASDAQ COMPOSITE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12888.3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12198.7</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11167.5</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10058.8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8972.6</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38.1</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41.7</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DOW JONES INDUS. AVG</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30606.5</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29638.6</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27781.7</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25812.9</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28538.4</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38.3</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25.1</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France</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CAC 40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5551.4</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5518.6</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4803.4</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4936.0</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5978.1</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65.9</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28.1</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Germany</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DAX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13718.8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13291.2</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12760.7</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12310.9</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13249.0</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49.4</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20.2</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UK</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FTSE 100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6460.5</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6266.2</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5866.1</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6169.7</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7542.4</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44.9</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21.3</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Hong Kong</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HANG SENG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27231.1</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26341.5</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23459.1</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24427.2</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28189.8</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26.1</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14.6</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South Korea</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KOSPI </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2873.5</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2591.3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2327.9</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2108.3</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2197.7</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39.2</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47.9</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Japan</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NIKKEI 225</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27444.2</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26433.6</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23185.1</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22288.1</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23656.6</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44.6</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43.6</w:t>
            </w:r>
          </w:p>
        </w:tc>
      </w:tr>
      <w:tr w:rsidR="000B2BC5" w:rsidRPr="00415B9F" w:rsidTr="00DB0339">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Singapore</w:t>
            </w:r>
          </w:p>
        </w:tc>
        <w:tc>
          <w:tcPr>
            <w:tcW w:w="1801" w:type="dxa"/>
            <w:tcBorders>
              <w:top w:val="nil"/>
              <w:left w:val="nil"/>
              <w:bottom w:val="nil"/>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STRAITS TIMES  STI</w:t>
            </w:r>
          </w:p>
        </w:tc>
        <w:tc>
          <w:tcPr>
            <w:tcW w:w="156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2843.8</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2806.0</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2466.6</w:t>
            </w:r>
          </w:p>
        </w:tc>
        <w:tc>
          <w:tcPr>
            <w:tcW w:w="1101"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2589.9</w:t>
            </w:r>
          </w:p>
        </w:tc>
        <w:tc>
          <w:tcPr>
            <w:tcW w:w="1116"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3222.8</w:t>
            </w:r>
          </w:p>
        </w:tc>
        <w:tc>
          <w:tcPr>
            <w:tcW w:w="1312"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41.1</w:t>
            </w:r>
          </w:p>
        </w:tc>
        <w:tc>
          <w:tcPr>
            <w:tcW w:w="835" w:type="dxa"/>
            <w:tcBorders>
              <w:top w:val="nil"/>
              <w:left w:val="nil"/>
              <w:bottom w:val="nil"/>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19.5</w:t>
            </w:r>
          </w:p>
        </w:tc>
      </w:tr>
      <w:tr w:rsidR="000B2BC5" w:rsidRPr="00415B9F" w:rsidTr="00DB0339">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20"/>
                <w:szCs w:val="20"/>
                <w:lang w:val="en-IN" w:eastAsia="en-IN"/>
              </w:rPr>
            </w:pPr>
            <w:r w:rsidRPr="00272724">
              <w:rPr>
                <w:rFonts w:ascii="Garamond" w:eastAsia="Times New Roman" w:hAnsi="Garamond" w:cs="Calibri"/>
                <w:color w:val="000000"/>
                <w:sz w:val="20"/>
                <w:szCs w:val="20"/>
                <w:lang w:val="en-IN" w:eastAsia="en-IN"/>
              </w:rPr>
              <w:t>Taiwan</w:t>
            </w:r>
          </w:p>
        </w:tc>
        <w:tc>
          <w:tcPr>
            <w:tcW w:w="1801" w:type="dxa"/>
            <w:tcBorders>
              <w:top w:val="nil"/>
              <w:left w:val="nil"/>
              <w:bottom w:val="single" w:sz="8" w:space="0" w:color="auto"/>
              <w:right w:val="single" w:sz="8" w:space="0" w:color="auto"/>
            </w:tcBorders>
            <w:shd w:val="clear" w:color="000000" w:fill="D9E1F2"/>
            <w:noWrap/>
            <w:hideMark/>
          </w:tcPr>
          <w:p w:rsidR="000B2BC5" w:rsidRPr="00272724" w:rsidRDefault="000B2BC5" w:rsidP="00DB0339">
            <w:pPr>
              <w:rPr>
                <w:rFonts w:ascii="Garamond" w:eastAsia="Times New Roman" w:hAnsi="Garamond" w:cs="Calibri"/>
                <w:color w:val="000000"/>
                <w:sz w:val="18"/>
                <w:szCs w:val="18"/>
                <w:lang w:val="en-IN" w:eastAsia="en-IN"/>
              </w:rPr>
            </w:pPr>
            <w:r w:rsidRPr="00272724">
              <w:rPr>
                <w:rFonts w:ascii="Garamond" w:eastAsia="Times New Roman" w:hAnsi="Garamond" w:cs="Calibri"/>
                <w:color w:val="000000"/>
                <w:sz w:val="18"/>
                <w:szCs w:val="18"/>
                <w:lang w:val="en-IN" w:eastAsia="en-IN"/>
              </w:rPr>
              <w:t xml:space="preserve">TAIWAN TAIEX </w:t>
            </w:r>
          </w:p>
        </w:tc>
        <w:tc>
          <w:tcPr>
            <w:tcW w:w="156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14732.5</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13722.9</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12515.6</w:t>
            </w:r>
          </w:p>
        </w:tc>
        <w:tc>
          <w:tcPr>
            <w:tcW w:w="1101"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11621.2</w:t>
            </w:r>
          </w:p>
        </w:tc>
        <w:tc>
          <w:tcPr>
            <w:tcW w:w="1116"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11997.1</w:t>
            </w:r>
          </w:p>
        </w:tc>
        <w:tc>
          <w:tcPr>
            <w:tcW w:w="1312"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28.3</w:t>
            </w:r>
          </w:p>
        </w:tc>
        <w:tc>
          <w:tcPr>
            <w:tcW w:w="835" w:type="dxa"/>
            <w:tcBorders>
              <w:top w:val="nil"/>
              <w:left w:val="nil"/>
              <w:bottom w:val="single" w:sz="8" w:space="0" w:color="auto"/>
              <w:right w:val="single" w:sz="8" w:space="0" w:color="auto"/>
            </w:tcBorders>
            <w:shd w:val="clear" w:color="auto" w:fill="auto"/>
            <w:noWrap/>
            <w:hideMark/>
          </w:tcPr>
          <w:p w:rsidR="000B2BC5" w:rsidRPr="00415B9F" w:rsidRDefault="000B2BC5" w:rsidP="00DB0339">
            <w:pPr>
              <w:ind w:firstLineChars="100" w:firstLine="200"/>
              <w:jc w:val="right"/>
              <w:rPr>
                <w:rFonts w:ascii="Garamond" w:hAnsi="Garamond" w:cs="Calibri"/>
                <w:sz w:val="20"/>
                <w:szCs w:val="20"/>
              </w:rPr>
            </w:pPr>
            <w:r w:rsidRPr="00415B9F">
              <w:rPr>
                <w:rFonts w:ascii="Garamond" w:hAnsi="Garamond" w:cs="Calibri"/>
                <w:sz w:val="20"/>
                <w:szCs w:val="20"/>
              </w:rPr>
              <w:t>24.1</w:t>
            </w:r>
          </w:p>
        </w:tc>
      </w:tr>
    </w:tbl>
    <w:p w:rsidR="000B2BC5" w:rsidRPr="00272724" w:rsidRDefault="000B2BC5" w:rsidP="000B2BC5">
      <w:pPr>
        <w:spacing w:line="23" w:lineRule="atLeast"/>
        <w:jc w:val="both"/>
        <w:rPr>
          <w:rFonts w:ascii="Garamond" w:hAnsi="Garamond"/>
          <w:bCs/>
          <w:sz w:val="18"/>
          <w:szCs w:val="18"/>
        </w:rPr>
      </w:pPr>
      <w:r w:rsidRPr="00272724">
        <w:rPr>
          <w:rFonts w:ascii="Garamond" w:hAnsi="Garamond"/>
          <w:bCs/>
          <w:sz w:val="18"/>
          <w:szCs w:val="18"/>
        </w:rPr>
        <w:t xml:space="preserve"> Note: P/E Ratios as on the last trading day</w:t>
      </w:r>
      <w:r>
        <w:rPr>
          <w:rFonts w:ascii="Garamond" w:hAnsi="Garamond"/>
          <w:bCs/>
          <w:sz w:val="18"/>
          <w:szCs w:val="18"/>
        </w:rPr>
        <w:t xml:space="preserve"> of month</w:t>
      </w:r>
      <w:r w:rsidRPr="00272724">
        <w:rPr>
          <w:rFonts w:ascii="Garamond" w:hAnsi="Garamond"/>
          <w:bCs/>
          <w:sz w:val="18"/>
          <w:szCs w:val="18"/>
        </w:rPr>
        <w:t>.</w:t>
      </w:r>
      <w:r>
        <w:rPr>
          <w:rFonts w:ascii="Garamond" w:hAnsi="Garamond"/>
          <w:bCs/>
          <w:sz w:val="18"/>
          <w:szCs w:val="18"/>
        </w:rPr>
        <w:t xml:space="preserve"> Trailing PE ratio has been used from Bloomberg for all Indices apart from Sensex, Nifty 50, </w:t>
      </w:r>
      <w:r w:rsidRPr="00A1772C">
        <w:rPr>
          <w:rFonts w:ascii="Garamond" w:hAnsi="Garamond"/>
          <w:bCs/>
          <w:sz w:val="18"/>
          <w:szCs w:val="18"/>
        </w:rPr>
        <w:t>Kospi,</w:t>
      </w:r>
      <w:r>
        <w:rPr>
          <w:rFonts w:ascii="Garamond" w:hAnsi="Garamond"/>
          <w:bCs/>
          <w:sz w:val="18"/>
          <w:szCs w:val="18"/>
        </w:rPr>
        <w:t xml:space="preserve"> Nikkei and Taiwan Taiex. Forward PE from Bloomberg was used for </w:t>
      </w:r>
      <w:r w:rsidRPr="00A1772C">
        <w:rPr>
          <w:rFonts w:ascii="Garamond" w:hAnsi="Garamond"/>
          <w:bCs/>
          <w:sz w:val="18"/>
          <w:szCs w:val="18"/>
        </w:rPr>
        <w:t>Kospi,</w:t>
      </w:r>
      <w:r>
        <w:rPr>
          <w:rFonts w:ascii="Garamond" w:hAnsi="Garamond"/>
          <w:bCs/>
          <w:sz w:val="18"/>
          <w:szCs w:val="18"/>
        </w:rPr>
        <w:t xml:space="preserve"> Nikkei and Taiwan Taiex. Data for Sensex and Nifty was taken from respective exchange website. Data is as on </w:t>
      </w:r>
      <w:r>
        <w:rPr>
          <w:rFonts w:ascii="Garamond" w:hAnsi="Garamond"/>
          <w:bCs/>
          <w:sz w:val="18"/>
          <w:szCs w:val="18"/>
          <w:lang w:val="en-US"/>
        </w:rPr>
        <w:t>14 January 2021</w:t>
      </w:r>
    </w:p>
    <w:p w:rsidR="000B2BC5" w:rsidRPr="00272724" w:rsidRDefault="000B2BC5" w:rsidP="000B2BC5">
      <w:pPr>
        <w:spacing w:line="23" w:lineRule="atLeast"/>
        <w:jc w:val="both"/>
        <w:rPr>
          <w:rFonts w:ascii="Garamond" w:hAnsi="Garamond"/>
          <w:bCs/>
          <w:sz w:val="18"/>
          <w:szCs w:val="18"/>
        </w:rPr>
      </w:pPr>
      <w:r w:rsidRPr="00272724">
        <w:rPr>
          <w:rFonts w:ascii="Garamond" w:hAnsi="Garamond"/>
          <w:bCs/>
          <w:sz w:val="18"/>
          <w:szCs w:val="18"/>
        </w:rPr>
        <w:t xml:space="preserve">Source: Bloomberg, BSE and National Stock Exchange </w:t>
      </w:r>
    </w:p>
    <w:p w:rsidR="000B2BC5" w:rsidRPr="00272724" w:rsidRDefault="000B2BC5" w:rsidP="000B2BC5">
      <w:pPr>
        <w:spacing w:line="23" w:lineRule="atLeast"/>
        <w:jc w:val="both"/>
        <w:rPr>
          <w:rFonts w:ascii="Garamond" w:hAnsi="Garamond"/>
          <w:b/>
          <w:bCs/>
          <w:szCs w:val="22"/>
        </w:rPr>
      </w:pPr>
    </w:p>
    <w:p w:rsidR="000B2BC5" w:rsidRPr="00272724" w:rsidRDefault="000B2BC5" w:rsidP="000B2BC5">
      <w:pPr>
        <w:spacing w:line="23" w:lineRule="atLeast"/>
        <w:jc w:val="both"/>
        <w:rPr>
          <w:rFonts w:ascii="Garamond" w:hAnsi="Garamond"/>
          <w:b/>
          <w:bCs/>
          <w:szCs w:val="22"/>
        </w:rPr>
      </w:pPr>
      <w:r w:rsidRPr="00272724">
        <w:rPr>
          <w:rFonts w:ascii="Garamond" w:hAnsi="Garamond"/>
          <w:b/>
          <w:bCs/>
          <w:szCs w:val="22"/>
        </w:rPr>
        <w:t>Table A2: Fund Mobilisation by Issuance of Equity and Bond in Major Exchanges (USD million)</w:t>
      </w:r>
    </w:p>
    <w:tbl>
      <w:tblPr>
        <w:tblW w:w="9112" w:type="dxa"/>
        <w:tblLook w:val="04A0" w:firstRow="1" w:lastRow="0" w:firstColumn="1" w:lastColumn="0" w:noHBand="0" w:noVBand="1"/>
      </w:tblPr>
      <w:tblGrid>
        <w:gridCol w:w="3194"/>
        <w:gridCol w:w="986"/>
        <w:gridCol w:w="986"/>
        <w:gridCol w:w="987"/>
        <w:gridCol w:w="986"/>
        <w:gridCol w:w="986"/>
        <w:gridCol w:w="987"/>
      </w:tblGrid>
      <w:tr w:rsidR="000B2BC5" w:rsidRPr="00415B9F" w:rsidTr="00DB0339">
        <w:trPr>
          <w:trHeight w:val="265"/>
        </w:trPr>
        <w:tc>
          <w:tcPr>
            <w:tcW w:w="3194" w:type="dxa"/>
            <w:tcBorders>
              <w:top w:val="single" w:sz="8" w:space="0" w:color="auto"/>
              <w:left w:val="single" w:sz="8" w:space="0" w:color="auto"/>
              <w:bottom w:val="nil"/>
              <w:right w:val="single" w:sz="8"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Month</w:t>
            </w:r>
          </w:p>
        </w:tc>
        <w:tc>
          <w:tcPr>
            <w:tcW w:w="2959" w:type="dxa"/>
            <w:gridSpan w:val="3"/>
            <w:tcBorders>
              <w:top w:val="single" w:sz="8" w:space="0" w:color="auto"/>
              <w:left w:val="nil"/>
              <w:bottom w:val="nil"/>
              <w:right w:val="single" w:sz="8" w:space="0" w:color="000000"/>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Oct-20</w:t>
            </w:r>
          </w:p>
        </w:tc>
        <w:tc>
          <w:tcPr>
            <w:tcW w:w="2959" w:type="dxa"/>
            <w:gridSpan w:val="3"/>
            <w:tcBorders>
              <w:top w:val="single" w:sz="8" w:space="0" w:color="auto"/>
              <w:left w:val="nil"/>
              <w:bottom w:val="nil"/>
              <w:right w:val="single" w:sz="8" w:space="0" w:color="000000"/>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Nov-20</w:t>
            </w:r>
          </w:p>
        </w:tc>
      </w:tr>
      <w:tr w:rsidR="000B2BC5" w:rsidRPr="00415B9F" w:rsidTr="00DB0339">
        <w:trPr>
          <w:trHeight w:val="252"/>
        </w:trPr>
        <w:tc>
          <w:tcPr>
            <w:tcW w:w="3194"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Exchange Name</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Bond</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Equity</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Total</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Bond</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Equity</w:t>
            </w:r>
          </w:p>
        </w:tc>
        <w:tc>
          <w:tcPr>
            <w:tcW w:w="986" w:type="dxa"/>
            <w:tcBorders>
              <w:top w:val="single" w:sz="4" w:space="0" w:color="auto"/>
              <w:left w:val="nil"/>
              <w:bottom w:val="single" w:sz="4" w:space="0" w:color="auto"/>
              <w:right w:val="single" w:sz="4" w:space="0" w:color="auto"/>
            </w:tcBorders>
            <w:shd w:val="clear" w:color="000000" w:fill="2F5496"/>
            <w:vAlign w:val="center"/>
            <w:hideMark/>
          </w:tcPr>
          <w:p w:rsidR="000B2BC5" w:rsidRPr="00EC27D5" w:rsidRDefault="000B2BC5" w:rsidP="00DB0339">
            <w:pPr>
              <w:jc w:val="center"/>
              <w:rPr>
                <w:rFonts w:ascii="Garamond" w:eastAsia="Times New Roman" w:hAnsi="Garamond" w:cs="Calibri"/>
                <w:b/>
                <w:bCs/>
                <w:color w:val="FFFFFF"/>
                <w:sz w:val="20"/>
                <w:szCs w:val="20"/>
                <w:lang w:val="en-IN" w:eastAsia="en-IN" w:bidi="hi-IN"/>
              </w:rPr>
            </w:pPr>
            <w:r w:rsidRPr="00EC27D5">
              <w:rPr>
                <w:rFonts w:ascii="Garamond" w:eastAsia="Times New Roman" w:hAnsi="Garamond" w:cs="Calibri"/>
                <w:b/>
                <w:bCs/>
                <w:color w:val="FFFFFF"/>
                <w:sz w:val="20"/>
                <w:szCs w:val="20"/>
                <w:lang w:val="en-IN" w:eastAsia="en-IN" w:bidi="hi-IN"/>
              </w:rPr>
              <w:t>Total</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05719" w:rsidRDefault="000B2BC5" w:rsidP="00DB0339">
            <w:pPr>
              <w:rPr>
                <w:rFonts w:ascii="Garamond" w:eastAsia="Times New Roman" w:hAnsi="Garamond" w:cs="Calibri"/>
                <w:color w:val="000000"/>
                <w:sz w:val="20"/>
                <w:szCs w:val="20"/>
                <w:lang w:val="en-IN" w:eastAsia="en-IN" w:bidi="hi-IN"/>
              </w:rPr>
            </w:pPr>
            <w:r w:rsidRPr="00E05719">
              <w:rPr>
                <w:rFonts w:ascii="Garamond" w:eastAsia="Times New Roman" w:hAnsi="Garamond" w:cs="Calibri"/>
                <w:color w:val="000000"/>
                <w:sz w:val="20"/>
                <w:szCs w:val="20"/>
                <w:lang w:val="en-IN" w:eastAsia="en-IN" w:bidi="hi-IN"/>
              </w:rPr>
              <w:t>B3 - Brasil Bolsa Balcão</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05719" w:rsidRDefault="000B2BC5" w:rsidP="00DB0339">
            <w:pPr>
              <w:rPr>
                <w:rFonts w:ascii="Garamond" w:eastAsia="Times New Roman" w:hAnsi="Garamond" w:cs="Calibri"/>
                <w:color w:val="000000"/>
                <w:sz w:val="20"/>
                <w:szCs w:val="20"/>
                <w:lang w:val="en-IN" w:eastAsia="en-IN" w:bidi="hi-IN"/>
              </w:rPr>
            </w:pPr>
            <w:r w:rsidRPr="00E05719">
              <w:rPr>
                <w:rFonts w:ascii="Garamond" w:eastAsia="Times New Roman" w:hAnsi="Garamond" w:cs="Calibri"/>
                <w:color w:val="000000"/>
                <w:sz w:val="20"/>
                <w:szCs w:val="20"/>
                <w:lang w:val="en-IN" w:eastAsia="en-IN" w:bidi="hi-IN"/>
              </w:rPr>
              <w:t>Nasdaq - US</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NYSE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7,017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7,017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12,067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12,067</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ASX Australian Securities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2,271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2,271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2,639</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2,639</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Hong Kong Exchanges and Clearing</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24,980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6,950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31,930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24,907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8,224</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33,131</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Japan Exchange Group</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11,858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816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12,674</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4,251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2,668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6,919</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Korea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54,723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54,723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49,520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49,520</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National Stock Exchange of India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40,589</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668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41,257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Shanghai Stock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6,879</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6,879</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8,136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8,136</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Shenzhen Stock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22,735</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10,848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33,583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13,622</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7,676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21,299</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Singapore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25,742</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661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26,403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10,138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10,246</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BME Spanish Exchanges</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25,758</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3,926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29,684</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15,897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81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15,979</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Deutsche Boerse AG</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95</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95</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Euronext</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10,350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10,350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NA</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4,215</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4,215</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Johannesburg Stock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3,776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17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3,793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4,313</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90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4,403</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LSE Group</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92,457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5,587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98,044</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67,467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7,380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74,848</w:t>
            </w:r>
          </w:p>
        </w:tc>
      </w:tr>
      <w:tr w:rsidR="000B2BC5" w:rsidRPr="00415B9F" w:rsidTr="00DB0339">
        <w:trPr>
          <w:trHeight w:val="265"/>
        </w:trPr>
        <w:tc>
          <w:tcPr>
            <w:tcW w:w="3194" w:type="dxa"/>
            <w:tcBorders>
              <w:top w:val="nil"/>
              <w:left w:val="single" w:sz="4" w:space="0" w:color="auto"/>
              <w:bottom w:val="single" w:sz="4" w:space="0" w:color="auto"/>
              <w:right w:val="single" w:sz="4" w:space="0" w:color="auto"/>
            </w:tcBorders>
            <w:shd w:val="clear" w:color="auto" w:fill="auto"/>
            <w:vAlign w:val="center"/>
            <w:hideMark/>
          </w:tcPr>
          <w:p w:rsidR="000B2BC5" w:rsidRPr="00EC27D5" w:rsidRDefault="000B2BC5" w:rsidP="00DB0339">
            <w:pPr>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Moscow Exchange</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28,757</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4</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28,761</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29,576</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0</w:t>
            </w:r>
          </w:p>
        </w:tc>
        <w:tc>
          <w:tcPr>
            <w:tcW w:w="986" w:type="dxa"/>
            <w:tcBorders>
              <w:top w:val="nil"/>
              <w:left w:val="nil"/>
              <w:bottom w:val="single" w:sz="4" w:space="0" w:color="auto"/>
              <w:right w:val="single" w:sz="4" w:space="0" w:color="auto"/>
            </w:tcBorders>
            <w:shd w:val="clear" w:color="auto" w:fill="auto"/>
            <w:vAlign w:val="center"/>
            <w:hideMark/>
          </w:tcPr>
          <w:p w:rsidR="000B2BC5" w:rsidRPr="00EC27D5" w:rsidRDefault="000B2BC5" w:rsidP="00DB0339">
            <w:pPr>
              <w:jc w:val="right"/>
              <w:rPr>
                <w:rFonts w:ascii="Garamond" w:eastAsia="Times New Roman" w:hAnsi="Garamond" w:cs="Calibri"/>
                <w:color w:val="000000"/>
                <w:sz w:val="20"/>
                <w:szCs w:val="20"/>
                <w:lang w:val="en-IN" w:eastAsia="en-IN" w:bidi="hi-IN"/>
              </w:rPr>
            </w:pPr>
            <w:r w:rsidRPr="00EC27D5">
              <w:rPr>
                <w:rFonts w:ascii="Garamond" w:eastAsia="Times New Roman" w:hAnsi="Garamond" w:cs="Calibri"/>
                <w:color w:val="000000"/>
                <w:sz w:val="20"/>
                <w:szCs w:val="20"/>
                <w:lang w:val="en-IN" w:eastAsia="en-IN" w:bidi="hi-IN"/>
              </w:rPr>
              <w:t xml:space="preserve"> 29,576</w:t>
            </w:r>
          </w:p>
        </w:tc>
      </w:tr>
      <w:tr w:rsidR="000B2BC5" w:rsidRPr="00415B9F" w:rsidTr="00DB0339">
        <w:trPr>
          <w:trHeight w:val="252"/>
        </w:trPr>
        <w:tc>
          <w:tcPr>
            <w:tcW w:w="3194" w:type="dxa"/>
            <w:tcBorders>
              <w:top w:val="nil"/>
              <w:left w:val="single" w:sz="4" w:space="0" w:color="auto"/>
              <w:bottom w:val="single" w:sz="4" w:space="0" w:color="auto"/>
              <w:right w:val="single" w:sz="4" w:space="0" w:color="auto"/>
            </w:tcBorders>
            <w:shd w:val="clear" w:color="000000" w:fill="BDD6EE"/>
            <w:vAlign w:val="center"/>
            <w:hideMark/>
          </w:tcPr>
          <w:p w:rsidR="000B2BC5" w:rsidRPr="00EC27D5" w:rsidRDefault="000B2BC5" w:rsidP="00DB0339">
            <w:pPr>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Grand Total</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331,375</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56,089</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387,464</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219,692</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53,285</w:t>
            </w:r>
          </w:p>
        </w:tc>
        <w:tc>
          <w:tcPr>
            <w:tcW w:w="986" w:type="dxa"/>
            <w:tcBorders>
              <w:top w:val="nil"/>
              <w:left w:val="nil"/>
              <w:bottom w:val="single" w:sz="4" w:space="0" w:color="auto"/>
              <w:right w:val="single" w:sz="4" w:space="0" w:color="auto"/>
            </w:tcBorders>
            <w:shd w:val="clear" w:color="000000" w:fill="BDD6EE"/>
            <w:vAlign w:val="center"/>
            <w:hideMark/>
          </w:tcPr>
          <w:p w:rsidR="000B2BC5" w:rsidRPr="00EC27D5" w:rsidRDefault="000B2BC5" w:rsidP="00DB0339">
            <w:pPr>
              <w:jc w:val="right"/>
              <w:rPr>
                <w:rFonts w:ascii="Garamond" w:eastAsia="Times New Roman" w:hAnsi="Garamond" w:cs="Calibri"/>
                <w:b/>
                <w:bCs/>
                <w:color w:val="000000"/>
                <w:sz w:val="20"/>
                <w:szCs w:val="20"/>
                <w:lang w:val="en-IN" w:eastAsia="en-IN" w:bidi="hi-IN"/>
              </w:rPr>
            </w:pPr>
            <w:r w:rsidRPr="00EC27D5">
              <w:rPr>
                <w:rFonts w:ascii="Garamond" w:eastAsia="Times New Roman" w:hAnsi="Garamond" w:cs="Calibri"/>
                <w:b/>
                <w:bCs/>
                <w:color w:val="000000"/>
                <w:sz w:val="20"/>
                <w:szCs w:val="20"/>
                <w:lang w:val="en-IN" w:eastAsia="en-IN" w:bidi="hi-IN"/>
              </w:rPr>
              <w:t xml:space="preserve"> 272,977</w:t>
            </w:r>
          </w:p>
        </w:tc>
      </w:tr>
    </w:tbl>
    <w:p w:rsidR="000B2BC5" w:rsidRPr="00272724" w:rsidRDefault="000B2BC5" w:rsidP="000B2BC5">
      <w:pPr>
        <w:jc w:val="both"/>
        <w:rPr>
          <w:rFonts w:ascii="Garamond" w:hAnsi="Garamond"/>
          <w:bCs/>
          <w:sz w:val="18"/>
          <w:szCs w:val="18"/>
        </w:rPr>
      </w:pPr>
      <w:r w:rsidRPr="00272724">
        <w:rPr>
          <w:rFonts w:ascii="Garamond" w:hAnsi="Garamond"/>
          <w:bCs/>
          <w:sz w:val="18"/>
          <w:szCs w:val="18"/>
        </w:rPr>
        <w:t>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Australian Securities Exchange: including investment funds</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 xml:space="preserve">BME: Including investment companies listed (open-end investment companies). </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Euronext: includes Belgium, England, France, Netherlands and Portugal</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Korea Exchange: including Kosdaq market data</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LSE Group: includes London Stock Exchange and BorsaItaliana</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Nasdaq Nordic Exchanges include Copenhagen, Helsinki, Iceland, Stockholm, Tallinn, Riga and Vilnius Stock Exchanges</w:t>
      </w:r>
    </w:p>
    <w:p w:rsidR="000B2BC5" w:rsidRPr="00272724" w:rsidRDefault="000B2BC5" w:rsidP="000B2BC5">
      <w:pPr>
        <w:widowControl w:val="0"/>
        <w:numPr>
          <w:ilvl w:val="0"/>
          <w:numId w:val="13"/>
        </w:numPr>
        <w:autoSpaceDE w:val="0"/>
        <w:autoSpaceDN w:val="0"/>
        <w:adjustRightInd w:val="0"/>
        <w:rPr>
          <w:rFonts w:ascii="Garamond" w:eastAsia="Times New Roman" w:hAnsi="Garamond"/>
          <w:bCs/>
          <w:sz w:val="18"/>
          <w:szCs w:val="18"/>
        </w:rPr>
      </w:pPr>
      <w:r w:rsidRPr="00272724">
        <w:rPr>
          <w:rFonts w:ascii="Garamond" w:eastAsia="Times New Roman" w:hAnsi="Garamond"/>
          <w:bCs/>
          <w:sz w:val="18"/>
          <w:szCs w:val="18"/>
        </w:rPr>
        <w:t>NSE India: including “Emerge” market data</w:t>
      </w:r>
    </w:p>
    <w:p w:rsidR="000B2BC5" w:rsidRPr="00272724" w:rsidRDefault="000B2BC5" w:rsidP="000B2BC5">
      <w:pPr>
        <w:outlineLvl w:val="0"/>
        <w:rPr>
          <w:rFonts w:ascii="Garamond" w:hAnsi="Garamond"/>
          <w:bCs/>
          <w:sz w:val="18"/>
          <w:szCs w:val="18"/>
        </w:rPr>
      </w:pPr>
      <w:r w:rsidRPr="00272724">
        <w:rPr>
          <w:rFonts w:ascii="Garamond" w:hAnsi="Garamond"/>
          <w:bCs/>
          <w:sz w:val="18"/>
          <w:szCs w:val="18"/>
        </w:rPr>
        <w:t>NA = Not Available</w:t>
      </w:r>
    </w:p>
    <w:p w:rsidR="000B2BC5" w:rsidRPr="00272724" w:rsidRDefault="000B2BC5" w:rsidP="000B2BC5">
      <w:pPr>
        <w:spacing w:line="23" w:lineRule="atLeast"/>
        <w:rPr>
          <w:rFonts w:ascii="Garamond" w:hAnsi="Garamond"/>
          <w:bCs/>
          <w:sz w:val="18"/>
          <w:szCs w:val="18"/>
        </w:rPr>
      </w:pPr>
      <w:r w:rsidRPr="00272724">
        <w:rPr>
          <w:rFonts w:ascii="Garamond" w:hAnsi="Garamond"/>
          <w:bCs/>
          <w:sz w:val="18"/>
          <w:szCs w:val="18"/>
        </w:rPr>
        <w:t>Source: World Federation of Exchanges</w:t>
      </w:r>
    </w:p>
    <w:p w:rsidR="000B2BC5" w:rsidRPr="00272724" w:rsidRDefault="000B2BC5" w:rsidP="000B2BC5">
      <w:pPr>
        <w:rPr>
          <w:rFonts w:ascii="Garamond" w:hAnsi="Garamond"/>
          <w:bCs/>
          <w:strike/>
          <w:sz w:val="22"/>
          <w:szCs w:val="22"/>
        </w:rPr>
      </w:pPr>
    </w:p>
    <w:p w:rsidR="000B2BC5" w:rsidRPr="00272724" w:rsidRDefault="000B2BC5" w:rsidP="000B2BC5">
      <w:pPr>
        <w:spacing w:line="23" w:lineRule="atLeast"/>
        <w:jc w:val="both"/>
        <w:outlineLvl w:val="0"/>
        <w:rPr>
          <w:rFonts w:ascii="Garamond" w:hAnsi="Garamond"/>
          <w:b/>
          <w:bCs/>
          <w:szCs w:val="22"/>
        </w:rPr>
      </w:pPr>
      <w:r w:rsidRPr="00272724">
        <w:rPr>
          <w:rFonts w:ascii="Garamond" w:hAnsi="Garamond"/>
          <w:b/>
          <w:bCs/>
          <w:szCs w:val="22"/>
        </w:rPr>
        <w:t xml:space="preserve">Table A3: Domestic Market Capitalisation of Major Exchanges (USD </w:t>
      </w:r>
      <w:r>
        <w:rPr>
          <w:rFonts w:ascii="Garamond" w:hAnsi="Garamond"/>
          <w:b/>
          <w:bCs/>
          <w:szCs w:val="22"/>
        </w:rPr>
        <w:t>b</w:t>
      </w:r>
      <w:r w:rsidRPr="00272724">
        <w:rPr>
          <w:rFonts w:ascii="Garamond" w:hAnsi="Garamond"/>
          <w:b/>
          <w:bCs/>
          <w:szCs w:val="22"/>
        </w:rPr>
        <w:t>illion)</w:t>
      </w:r>
    </w:p>
    <w:p w:rsidR="000B2BC5" w:rsidRPr="00272724" w:rsidRDefault="000B2BC5" w:rsidP="000B2BC5">
      <w:pPr>
        <w:spacing w:line="23" w:lineRule="atLeast"/>
        <w:jc w:val="both"/>
        <w:outlineLvl w:val="0"/>
        <w:rPr>
          <w:rFonts w:ascii="Garamond" w:hAnsi="Garamond"/>
          <w:b/>
          <w:bCs/>
          <w:szCs w:val="22"/>
        </w:rPr>
      </w:pPr>
    </w:p>
    <w:tbl>
      <w:tblPr>
        <w:tblW w:w="8722" w:type="dxa"/>
        <w:tblLook w:val="04A0" w:firstRow="1" w:lastRow="0" w:firstColumn="1" w:lastColumn="0" w:noHBand="0" w:noVBand="1"/>
      </w:tblPr>
      <w:tblGrid>
        <w:gridCol w:w="4528"/>
        <w:gridCol w:w="1398"/>
        <w:gridCol w:w="1398"/>
        <w:gridCol w:w="1398"/>
      </w:tblGrid>
      <w:tr w:rsidR="000B2BC5" w:rsidRPr="00415B9F" w:rsidTr="00DB0339">
        <w:trPr>
          <w:trHeight w:val="261"/>
        </w:trPr>
        <w:tc>
          <w:tcPr>
            <w:tcW w:w="452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B2BC5" w:rsidRPr="00863CC4" w:rsidRDefault="000B2BC5" w:rsidP="00DB0339">
            <w:pPr>
              <w:rPr>
                <w:rFonts w:ascii="Garamond" w:eastAsia="Times New Roman" w:hAnsi="Garamond" w:cs="Calibri"/>
                <w:b/>
                <w:bCs/>
                <w:color w:val="000000"/>
                <w:sz w:val="20"/>
                <w:szCs w:val="20"/>
                <w:lang w:val="en-IN" w:eastAsia="en-IN" w:bidi="hi-IN"/>
              </w:rPr>
            </w:pPr>
            <w:r w:rsidRPr="00863CC4">
              <w:rPr>
                <w:rFonts w:ascii="Garamond" w:eastAsia="Times New Roman" w:hAnsi="Garamond" w:cs="Calibri"/>
                <w:b/>
                <w:bCs/>
                <w:color w:val="000000"/>
                <w:sz w:val="20"/>
                <w:szCs w:val="20"/>
                <w:lang w:val="en-IN" w:eastAsia="en-IN" w:bidi="hi-IN"/>
              </w:rPr>
              <w:t>Exchnage</w:t>
            </w:r>
          </w:p>
        </w:tc>
        <w:tc>
          <w:tcPr>
            <w:tcW w:w="1398" w:type="dxa"/>
            <w:tcBorders>
              <w:top w:val="single" w:sz="4" w:space="0" w:color="auto"/>
              <w:left w:val="nil"/>
              <w:bottom w:val="single" w:sz="4" w:space="0" w:color="auto"/>
              <w:right w:val="single" w:sz="4" w:space="0" w:color="auto"/>
            </w:tcBorders>
            <w:shd w:val="clear" w:color="000000" w:fill="B4C6E7"/>
            <w:noWrap/>
            <w:vAlign w:val="center"/>
            <w:hideMark/>
          </w:tcPr>
          <w:p w:rsidR="000B2BC5" w:rsidRPr="00863CC4" w:rsidRDefault="000B2BC5" w:rsidP="00DB0339">
            <w:pPr>
              <w:jc w:val="center"/>
              <w:rPr>
                <w:rFonts w:ascii="Calibri" w:eastAsia="Times New Roman" w:hAnsi="Calibri" w:cs="Calibri"/>
                <w:b/>
                <w:bCs/>
                <w:color w:val="000000"/>
                <w:sz w:val="18"/>
                <w:szCs w:val="18"/>
                <w:lang w:val="en-IN" w:eastAsia="en-IN" w:bidi="hi-IN"/>
              </w:rPr>
            </w:pPr>
            <w:r w:rsidRPr="00863CC4">
              <w:rPr>
                <w:rFonts w:ascii="Calibri" w:eastAsia="Times New Roman" w:hAnsi="Calibri" w:cs="Calibri"/>
                <w:b/>
                <w:bCs/>
                <w:color w:val="000000"/>
                <w:sz w:val="18"/>
                <w:szCs w:val="18"/>
                <w:lang w:val="en-IN" w:eastAsia="en-IN" w:bidi="hi-IN"/>
              </w:rPr>
              <w:t>Oct-20</w:t>
            </w:r>
          </w:p>
        </w:tc>
        <w:tc>
          <w:tcPr>
            <w:tcW w:w="1398" w:type="dxa"/>
            <w:tcBorders>
              <w:top w:val="single" w:sz="4" w:space="0" w:color="auto"/>
              <w:left w:val="nil"/>
              <w:bottom w:val="single" w:sz="4" w:space="0" w:color="auto"/>
              <w:right w:val="single" w:sz="4" w:space="0" w:color="auto"/>
            </w:tcBorders>
            <w:shd w:val="clear" w:color="000000" w:fill="B4C6E7"/>
            <w:noWrap/>
            <w:vAlign w:val="center"/>
            <w:hideMark/>
          </w:tcPr>
          <w:p w:rsidR="000B2BC5" w:rsidRPr="00863CC4" w:rsidRDefault="000B2BC5" w:rsidP="00DB0339">
            <w:pPr>
              <w:jc w:val="center"/>
              <w:rPr>
                <w:rFonts w:ascii="Calibri" w:eastAsia="Times New Roman" w:hAnsi="Calibri" w:cs="Calibri"/>
                <w:b/>
                <w:bCs/>
                <w:color w:val="000000"/>
                <w:sz w:val="18"/>
                <w:szCs w:val="18"/>
                <w:lang w:val="en-IN" w:eastAsia="en-IN" w:bidi="hi-IN"/>
              </w:rPr>
            </w:pPr>
            <w:r w:rsidRPr="00863CC4">
              <w:rPr>
                <w:rFonts w:ascii="Calibri" w:eastAsia="Times New Roman" w:hAnsi="Calibri" w:cs="Calibri"/>
                <w:b/>
                <w:bCs/>
                <w:color w:val="000000"/>
                <w:sz w:val="18"/>
                <w:szCs w:val="18"/>
                <w:lang w:val="en-IN" w:eastAsia="en-IN" w:bidi="hi-IN"/>
              </w:rPr>
              <w:t>Nov-20</w:t>
            </w:r>
          </w:p>
        </w:tc>
        <w:tc>
          <w:tcPr>
            <w:tcW w:w="1398" w:type="dxa"/>
            <w:tcBorders>
              <w:top w:val="single" w:sz="4" w:space="0" w:color="auto"/>
              <w:left w:val="nil"/>
              <w:bottom w:val="single" w:sz="4" w:space="0" w:color="auto"/>
              <w:right w:val="single" w:sz="4" w:space="0" w:color="auto"/>
            </w:tcBorders>
            <w:shd w:val="clear" w:color="000000" w:fill="B4C6E7"/>
            <w:noWrap/>
            <w:vAlign w:val="center"/>
            <w:hideMark/>
          </w:tcPr>
          <w:p w:rsidR="000B2BC5" w:rsidRPr="00863CC4" w:rsidRDefault="000B2BC5" w:rsidP="00DB0339">
            <w:pPr>
              <w:rPr>
                <w:rFonts w:ascii="Calibri" w:eastAsia="Times New Roman" w:hAnsi="Calibri" w:cs="Calibri"/>
                <w:b/>
                <w:bCs/>
                <w:color w:val="000000"/>
                <w:sz w:val="18"/>
                <w:szCs w:val="18"/>
                <w:lang w:val="en-IN" w:eastAsia="en-IN" w:bidi="hi-IN"/>
              </w:rPr>
            </w:pPr>
            <w:r w:rsidRPr="00863CC4">
              <w:rPr>
                <w:rFonts w:ascii="Calibri" w:eastAsia="Times New Roman" w:hAnsi="Calibri" w:cs="Calibri"/>
                <w:b/>
                <w:bCs/>
                <w:color w:val="000000"/>
                <w:sz w:val="18"/>
                <w:szCs w:val="18"/>
                <w:lang w:val="en-IN" w:eastAsia="en-IN" w:bidi="hi-IN"/>
              </w:rPr>
              <w:t>% Change MoM</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Nasdaq - US</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16,095</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18,007</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11.9%</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NYSE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22,383</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NA</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NA</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LSE Group</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3,167</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3,721</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17.5%</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Deutsche Boerse AG</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1,925</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2,147</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11.5%</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BME Spanish Exchanges</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596</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739</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23.9%</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Japan Exchange Group</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6,123</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6,595</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7.7%</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Singapore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577</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638</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10.5%</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Hong Kong Exchanges and Clearing</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5,586</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5,900</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5.6%</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Korea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1,636</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1,917</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17.2%</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ASX Australian Securities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1,398</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1,603</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14.6%</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B3 - Brasil Bolsa Balcão</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702</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861</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22.7%</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Moscow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536</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639</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19.2%</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National Stock Exchange of India</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2,090</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NA</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NA</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Shanghai Stock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6,228</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6,716</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7.8%</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Shenzhen Stock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4,765</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4,980</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4.5%</w:t>
            </w:r>
          </w:p>
        </w:tc>
      </w:tr>
      <w:tr w:rsidR="000B2BC5" w:rsidRPr="00415B9F" w:rsidTr="00DB0339">
        <w:trPr>
          <w:trHeight w:val="261"/>
        </w:trPr>
        <w:tc>
          <w:tcPr>
            <w:tcW w:w="4528" w:type="dxa"/>
            <w:tcBorders>
              <w:top w:val="nil"/>
              <w:left w:val="single" w:sz="4" w:space="0" w:color="auto"/>
              <w:bottom w:val="single" w:sz="4" w:space="0" w:color="auto"/>
              <w:right w:val="single" w:sz="4" w:space="0" w:color="auto"/>
            </w:tcBorders>
            <w:shd w:val="clear" w:color="000000" w:fill="D9E1F2"/>
            <w:noWrap/>
            <w:vAlign w:val="center"/>
            <w:hideMark/>
          </w:tcPr>
          <w:p w:rsidR="000B2BC5" w:rsidRPr="00863CC4" w:rsidRDefault="000B2BC5" w:rsidP="00DB0339">
            <w:pPr>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Johannesburg Stock Exchange</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833</w:t>
            </w:r>
          </w:p>
        </w:tc>
        <w:tc>
          <w:tcPr>
            <w:tcW w:w="1398" w:type="dxa"/>
            <w:tcBorders>
              <w:top w:val="nil"/>
              <w:left w:val="nil"/>
              <w:bottom w:val="single" w:sz="4" w:space="0" w:color="auto"/>
              <w:right w:val="single" w:sz="4" w:space="0" w:color="auto"/>
            </w:tcBorders>
            <w:shd w:val="clear" w:color="auto" w:fill="auto"/>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 xml:space="preserve"> 971</w:t>
            </w:r>
          </w:p>
        </w:tc>
        <w:tc>
          <w:tcPr>
            <w:tcW w:w="1398" w:type="dxa"/>
            <w:tcBorders>
              <w:top w:val="nil"/>
              <w:left w:val="nil"/>
              <w:bottom w:val="single" w:sz="4" w:space="0" w:color="auto"/>
              <w:right w:val="single" w:sz="4" w:space="0" w:color="auto"/>
            </w:tcBorders>
            <w:shd w:val="clear" w:color="auto" w:fill="auto"/>
            <w:noWrap/>
            <w:vAlign w:val="center"/>
            <w:hideMark/>
          </w:tcPr>
          <w:p w:rsidR="000B2BC5" w:rsidRPr="00863CC4" w:rsidRDefault="000B2BC5" w:rsidP="00DB0339">
            <w:pPr>
              <w:jc w:val="right"/>
              <w:rPr>
                <w:rFonts w:ascii="Garamond" w:eastAsia="Times New Roman" w:hAnsi="Garamond" w:cs="Calibri"/>
                <w:color w:val="000000"/>
                <w:sz w:val="20"/>
                <w:szCs w:val="20"/>
                <w:lang w:val="en-IN" w:eastAsia="en-IN" w:bidi="hi-IN"/>
              </w:rPr>
            </w:pPr>
            <w:r w:rsidRPr="00863CC4">
              <w:rPr>
                <w:rFonts w:ascii="Garamond" w:eastAsia="Times New Roman" w:hAnsi="Garamond" w:cs="Calibri"/>
                <w:color w:val="000000"/>
                <w:sz w:val="20"/>
                <w:szCs w:val="20"/>
                <w:lang w:val="en-IN" w:eastAsia="en-IN" w:bidi="hi-IN"/>
              </w:rPr>
              <w:t>16.5%</w:t>
            </w:r>
          </w:p>
        </w:tc>
      </w:tr>
    </w:tbl>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NA: Not Available</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 xml:space="preserve">Note: </w:t>
      </w:r>
    </w:p>
    <w:p w:rsidR="000B2BC5" w:rsidRPr="00272724" w:rsidRDefault="000B2BC5" w:rsidP="000B2BC5">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The figures provided in some versions of SEBI Bulletin are sourced from Bloomberg which provides country wise market capitalization data (estimated internally by Bloomberg).</w:t>
      </w:r>
    </w:p>
    <w:p w:rsidR="000B2BC5" w:rsidRPr="00272724" w:rsidRDefault="000B2BC5" w:rsidP="000B2BC5">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The figures provided World Federation of Exchanges are more detailed and are provided by respective member exchanges.</w:t>
      </w:r>
    </w:p>
    <w:p w:rsidR="000B2BC5" w:rsidRPr="00272724" w:rsidRDefault="000B2BC5" w:rsidP="000B2BC5">
      <w:pPr>
        <w:numPr>
          <w:ilvl w:val="0"/>
          <w:numId w:val="26"/>
        </w:numPr>
        <w:spacing w:after="200" w:line="23" w:lineRule="atLeast"/>
        <w:contextualSpacing/>
        <w:jc w:val="both"/>
        <w:outlineLvl w:val="0"/>
        <w:rPr>
          <w:rFonts w:ascii="Garamond" w:hAnsi="Garamond"/>
          <w:bCs/>
          <w:sz w:val="18"/>
          <w:szCs w:val="18"/>
          <w:lang w:val="en-US"/>
        </w:rPr>
      </w:pPr>
      <w:r w:rsidRPr="00272724">
        <w:rPr>
          <w:rFonts w:ascii="Garamond" w:hAnsi="Garamond"/>
          <w:bCs/>
          <w:sz w:val="18"/>
          <w:szCs w:val="18"/>
          <w:lang w:val="en-US"/>
        </w:rPr>
        <w:t xml:space="preserve">As per the data available as on </w:t>
      </w:r>
      <w:r>
        <w:rPr>
          <w:rFonts w:ascii="Garamond" w:hAnsi="Garamond"/>
          <w:bCs/>
          <w:sz w:val="18"/>
          <w:szCs w:val="18"/>
          <w:lang w:val="en-US"/>
        </w:rPr>
        <w:t>14 January 2021</w:t>
      </w:r>
      <w:r w:rsidRPr="00272724">
        <w:rPr>
          <w:rFonts w:ascii="Garamond" w:hAnsi="Garamond"/>
          <w:bCs/>
          <w:sz w:val="18"/>
          <w:szCs w:val="18"/>
          <w:lang w:val="en-US"/>
        </w:rPr>
        <w:t>.</w:t>
      </w:r>
    </w:p>
    <w:p w:rsidR="000B2BC5" w:rsidRPr="00272724" w:rsidRDefault="000B2BC5" w:rsidP="000B2BC5">
      <w:pPr>
        <w:spacing w:line="23" w:lineRule="atLeast"/>
        <w:jc w:val="both"/>
        <w:outlineLvl w:val="0"/>
        <w:rPr>
          <w:rFonts w:ascii="Garamond" w:hAnsi="Garamond"/>
          <w:bCs/>
          <w:color w:val="000000"/>
          <w:sz w:val="22"/>
          <w:szCs w:val="22"/>
        </w:rPr>
      </w:pPr>
      <w:r w:rsidRPr="00272724">
        <w:rPr>
          <w:rFonts w:ascii="Garamond" w:hAnsi="Garamond"/>
          <w:bCs/>
          <w:strike/>
          <w:sz w:val="22"/>
          <w:szCs w:val="22"/>
        </w:rPr>
        <w:br w:type="page"/>
      </w:r>
    </w:p>
    <w:p w:rsidR="000B2BC5" w:rsidRPr="00272724" w:rsidRDefault="000B2BC5" w:rsidP="000B2BC5">
      <w:pPr>
        <w:spacing w:line="23" w:lineRule="atLeast"/>
        <w:jc w:val="both"/>
        <w:outlineLvl w:val="0"/>
        <w:rPr>
          <w:rFonts w:ascii="Garamond" w:hAnsi="Garamond"/>
          <w:b/>
          <w:bCs/>
          <w:szCs w:val="22"/>
        </w:rPr>
      </w:pPr>
      <w:r w:rsidRPr="00272724">
        <w:rPr>
          <w:rFonts w:ascii="Garamond" w:hAnsi="Garamond"/>
          <w:b/>
          <w:bCs/>
          <w:szCs w:val="22"/>
        </w:rPr>
        <w:t>Table A4: Stock Futures and Stock Options Traded in Major Exchanges</w:t>
      </w:r>
    </w:p>
    <w:p w:rsidR="000B2BC5" w:rsidRPr="00272724" w:rsidRDefault="000B2BC5" w:rsidP="000B2BC5">
      <w:pPr>
        <w:spacing w:line="23" w:lineRule="atLeast"/>
        <w:ind w:right="674"/>
        <w:jc w:val="right"/>
        <w:outlineLvl w:val="0"/>
        <w:rPr>
          <w:rFonts w:ascii="Garamond" w:hAnsi="Garamond"/>
          <w:bCs/>
          <w:sz w:val="22"/>
          <w:szCs w:val="22"/>
        </w:rPr>
      </w:pPr>
      <w:r w:rsidRPr="00272724">
        <w:rPr>
          <w:rFonts w:ascii="Garamond" w:hAnsi="Garamond"/>
          <w:bCs/>
          <w:sz w:val="22"/>
          <w:szCs w:val="22"/>
        </w:rPr>
        <w:t>Notional Turnover in (USD million)</w:t>
      </w:r>
    </w:p>
    <w:tbl>
      <w:tblPr>
        <w:tblW w:w="9872" w:type="dxa"/>
        <w:tblLook w:val="04A0" w:firstRow="1" w:lastRow="0" w:firstColumn="1" w:lastColumn="0" w:noHBand="0" w:noVBand="1"/>
      </w:tblPr>
      <w:tblGrid>
        <w:gridCol w:w="3146"/>
        <w:gridCol w:w="1167"/>
        <w:gridCol w:w="1061"/>
        <w:gridCol w:w="1088"/>
        <w:gridCol w:w="1167"/>
        <w:gridCol w:w="1061"/>
        <w:gridCol w:w="1182"/>
      </w:tblGrid>
      <w:tr w:rsidR="000B2BC5" w:rsidRPr="00415B9F" w:rsidTr="00DB0339">
        <w:trPr>
          <w:trHeight w:val="231"/>
        </w:trPr>
        <w:tc>
          <w:tcPr>
            <w:tcW w:w="3146"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Exchange</w:t>
            </w:r>
          </w:p>
        </w:tc>
        <w:tc>
          <w:tcPr>
            <w:tcW w:w="6726" w:type="dxa"/>
            <w:gridSpan w:val="6"/>
            <w:tcBorders>
              <w:top w:val="single" w:sz="8" w:space="0" w:color="auto"/>
              <w:left w:val="nil"/>
              <w:bottom w:val="single" w:sz="8" w:space="0" w:color="auto"/>
              <w:right w:val="single" w:sz="8" w:space="0" w:color="000000"/>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Nov-20</w:t>
            </w:r>
          </w:p>
        </w:tc>
      </w:tr>
      <w:tr w:rsidR="000B2BC5" w:rsidRPr="00415B9F" w:rsidTr="00DB0339">
        <w:trPr>
          <w:trHeight w:val="231"/>
        </w:trPr>
        <w:tc>
          <w:tcPr>
            <w:tcW w:w="3146" w:type="dxa"/>
            <w:vMerge/>
            <w:tcBorders>
              <w:top w:val="single" w:sz="8" w:space="0" w:color="auto"/>
              <w:left w:val="single" w:sz="8" w:space="0" w:color="auto"/>
              <w:bottom w:val="single" w:sz="8" w:space="0" w:color="000000"/>
              <w:right w:val="single" w:sz="8"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3316" w:type="dxa"/>
            <w:gridSpan w:val="3"/>
            <w:tcBorders>
              <w:top w:val="single" w:sz="8" w:space="0" w:color="auto"/>
              <w:left w:val="nil"/>
              <w:bottom w:val="single" w:sz="8" w:space="0" w:color="auto"/>
              <w:right w:val="single" w:sz="8" w:space="0" w:color="000000"/>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Single Stock Futures</w:t>
            </w:r>
          </w:p>
        </w:tc>
        <w:tc>
          <w:tcPr>
            <w:tcW w:w="3410" w:type="dxa"/>
            <w:gridSpan w:val="3"/>
            <w:tcBorders>
              <w:top w:val="single" w:sz="8" w:space="0" w:color="auto"/>
              <w:left w:val="nil"/>
              <w:bottom w:val="single" w:sz="8" w:space="0" w:color="auto"/>
              <w:right w:val="single" w:sz="8" w:space="0" w:color="000000"/>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Single Stock Options</w:t>
            </w:r>
          </w:p>
        </w:tc>
      </w:tr>
      <w:tr w:rsidR="000B2BC5" w:rsidRPr="00415B9F" w:rsidTr="00DB0339">
        <w:trPr>
          <w:trHeight w:val="220"/>
        </w:trPr>
        <w:tc>
          <w:tcPr>
            <w:tcW w:w="3146" w:type="dxa"/>
            <w:vMerge/>
            <w:tcBorders>
              <w:top w:val="single" w:sz="8" w:space="0" w:color="auto"/>
              <w:left w:val="single" w:sz="8" w:space="0" w:color="auto"/>
              <w:bottom w:val="single" w:sz="8" w:space="0" w:color="000000"/>
              <w:right w:val="single" w:sz="8"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1167"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p>
        </w:tc>
        <w:tc>
          <w:tcPr>
            <w:tcW w:w="1061"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p>
        </w:tc>
        <w:tc>
          <w:tcPr>
            <w:tcW w:w="1087"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p>
        </w:tc>
        <w:tc>
          <w:tcPr>
            <w:tcW w:w="1167"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p>
        </w:tc>
        <w:tc>
          <w:tcPr>
            <w:tcW w:w="1061"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p>
        </w:tc>
        <w:tc>
          <w:tcPr>
            <w:tcW w:w="1181" w:type="dxa"/>
            <w:tcBorders>
              <w:top w:val="nil"/>
              <w:left w:val="nil"/>
              <w:bottom w:val="nil"/>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p>
        </w:tc>
      </w:tr>
      <w:tr w:rsidR="000B2BC5" w:rsidRPr="00415B9F" w:rsidTr="00DB0339">
        <w:trPr>
          <w:trHeight w:val="385"/>
        </w:trPr>
        <w:tc>
          <w:tcPr>
            <w:tcW w:w="3146" w:type="dxa"/>
            <w:vMerge/>
            <w:tcBorders>
              <w:top w:val="single" w:sz="8" w:space="0" w:color="auto"/>
              <w:left w:val="single" w:sz="8" w:space="0" w:color="auto"/>
              <w:bottom w:val="single" w:sz="8" w:space="0" w:color="000000"/>
              <w:right w:val="single" w:sz="8"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1167"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Contracts Traded</w:t>
            </w:r>
          </w:p>
        </w:tc>
        <w:tc>
          <w:tcPr>
            <w:tcW w:w="1061"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Turnover</w:t>
            </w:r>
          </w:p>
        </w:tc>
        <w:tc>
          <w:tcPr>
            <w:tcW w:w="1087"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Interest</w:t>
            </w:r>
          </w:p>
        </w:tc>
        <w:tc>
          <w:tcPr>
            <w:tcW w:w="1167"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Contracts Traded</w:t>
            </w:r>
          </w:p>
        </w:tc>
        <w:tc>
          <w:tcPr>
            <w:tcW w:w="1061"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Turnover</w:t>
            </w:r>
          </w:p>
        </w:tc>
        <w:tc>
          <w:tcPr>
            <w:tcW w:w="1181" w:type="dxa"/>
            <w:tcBorders>
              <w:top w:val="nil"/>
              <w:left w:val="nil"/>
              <w:bottom w:val="single" w:sz="8" w:space="0" w:color="auto"/>
              <w:right w:val="single" w:sz="8"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Interest</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B3 - Brasil Bolsa Balcão</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81,443,900</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383</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25,363,000</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158,742,273</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55,396</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54,432,588</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de Valores de Colombia</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13,817</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10,354</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Mexicana de Valores</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3,400</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1,750</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420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33,420</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Cboe Global Markets</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123,938,020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242,002,088</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Nasdaq - US</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178,688,246</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MIAX Exchange Group</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49,284,337</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778,479</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ASX Australian Securities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92,915</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108</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352,804</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5,531,906</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9,703</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7,091,738</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Hong Kong Exchanges and Clearing</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115,874</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852</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17,655</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11,743,210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60,248</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10,535,832</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Japan Exchange Group</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1,221</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39,447</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Korea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112,152,667</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76,195</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6,590,724</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77,263</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18,935</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National Stock Exchange of India</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20,751,860</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208,574</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1,564,283</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29,449,234</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314,107</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522,224</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Singapore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262,192</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39,320</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Taiwan Futures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2,321,923</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21,735</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251,652</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10,920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121</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3,371</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Thailand Futures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4,930,833</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2,016,142</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Athens Stock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999,977</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174</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315,825</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1,711</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1,660</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BME Spanish Exchanges</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170,013</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68</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1,385,187</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1,195,164</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1,092</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9,125,309</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Borsa Istanbul</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230,322,975</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18,066</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9,353,102</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317,289</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401,166</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Budapest Stock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12,851</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77</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6,298</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Deutsche Boerse AG</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4,020,116</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19,562</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5,850,777</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18,963,228</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89,755</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72,332,711</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Euronext</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Moscow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18,509,249</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4,868</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1,610,232</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148,298</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42</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200,036</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Nasdaq Nordic and Baltics</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Tehran Stock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3,916,071</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88</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Tel-Aviv Stock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114,061</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60,154</w:t>
            </w:r>
          </w:p>
        </w:tc>
      </w:tr>
      <w:tr w:rsidR="000B2BC5" w:rsidRPr="00415B9F" w:rsidTr="00DB0339">
        <w:trPr>
          <w:trHeight w:val="220"/>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Warsaw Stock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257,950</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451</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46,925</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1"/>
        </w:trPr>
        <w:tc>
          <w:tcPr>
            <w:tcW w:w="3146" w:type="dxa"/>
            <w:tcBorders>
              <w:top w:val="nil"/>
              <w:left w:val="single" w:sz="8" w:space="0" w:color="auto"/>
              <w:bottom w:val="nil"/>
              <w:right w:val="single" w:sz="8" w:space="0" w:color="auto"/>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Dubai Gold and Commodities Exchange</w:t>
            </w:r>
          </w:p>
        </w:tc>
        <w:tc>
          <w:tcPr>
            <w:tcW w:w="1167"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2,859</w:t>
            </w:r>
          </w:p>
        </w:tc>
        <w:tc>
          <w:tcPr>
            <w:tcW w:w="106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w:t>
            </w:r>
          </w:p>
        </w:tc>
        <w:tc>
          <w:tcPr>
            <w:tcW w:w="1087"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276</w:t>
            </w:r>
          </w:p>
        </w:tc>
        <w:tc>
          <w:tcPr>
            <w:tcW w:w="1167"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61" w:type="dxa"/>
            <w:tcBorders>
              <w:top w:val="nil"/>
              <w:left w:val="nil"/>
              <w:bottom w:val="nil"/>
              <w:right w:val="nil"/>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81"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1"/>
        </w:trPr>
        <w:tc>
          <w:tcPr>
            <w:tcW w:w="3146" w:type="dxa"/>
            <w:tcBorders>
              <w:top w:val="single" w:sz="8" w:space="0" w:color="auto"/>
              <w:left w:val="single" w:sz="8" w:space="0" w:color="auto"/>
              <w:bottom w:val="single" w:sz="8" w:space="0" w:color="auto"/>
              <w:right w:val="nil"/>
            </w:tcBorders>
            <w:shd w:val="clear" w:color="000000" w:fill="D9E1F2"/>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Grand Total</w:t>
            </w:r>
          </w:p>
        </w:tc>
        <w:tc>
          <w:tcPr>
            <w:tcW w:w="1167"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476,385,371</w:t>
            </w:r>
          </w:p>
        </w:tc>
        <w:tc>
          <w:tcPr>
            <w:tcW w:w="1061"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351,131</w:t>
            </w:r>
          </w:p>
        </w:tc>
        <w:tc>
          <w:tcPr>
            <w:tcW w:w="1087"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54,776,306</w:t>
            </w:r>
          </w:p>
        </w:tc>
        <w:tc>
          <w:tcPr>
            <w:tcW w:w="1167"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582,122,872</w:t>
            </w:r>
          </w:p>
        </w:tc>
        <w:tc>
          <w:tcPr>
            <w:tcW w:w="1061"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1,309,065</w:t>
            </w:r>
          </w:p>
        </w:tc>
        <w:tc>
          <w:tcPr>
            <w:tcW w:w="1181" w:type="dxa"/>
            <w:tcBorders>
              <w:top w:val="single" w:sz="8" w:space="0" w:color="auto"/>
              <w:left w:val="nil"/>
              <w:bottom w:val="single" w:sz="8" w:space="0" w:color="auto"/>
              <w:right w:val="single" w:sz="8" w:space="0" w:color="auto"/>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396,800,679</w:t>
            </w:r>
          </w:p>
        </w:tc>
      </w:tr>
    </w:tbl>
    <w:p w:rsidR="000B2BC5" w:rsidRPr="00272724" w:rsidRDefault="000B2BC5" w:rsidP="000B2BC5">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272724">
        <w:rPr>
          <w:rFonts w:ascii="Garamond" w:hAnsi="Garamond"/>
          <w:bCs/>
          <w:sz w:val="18"/>
          <w:szCs w:val="18"/>
        </w:rPr>
        <w:t xml:space="preserve"> NA: Not Available</w:t>
      </w:r>
    </w:p>
    <w:p w:rsidR="000B2BC5" w:rsidRPr="00272724" w:rsidRDefault="000B2BC5" w:rsidP="000B2BC5">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272724">
        <w:rPr>
          <w:rFonts w:ascii="Garamond" w:hAnsi="Garamond"/>
          <w:bCs/>
          <w:sz w:val="18"/>
          <w:szCs w:val="18"/>
        </w:rPr>
        <w:t>Source: World Federation of Exchanges</w:t>
      </w:r>
    </w:p>
    <w:p w:rsidR="000B2BC5" w:rsidRPr="00272724" w:rsidRDefault="000B2BC5" w:rsidP="000B2BC5">
      <w:pPr>
        <w:rPr>
          <w:rFonts w:ascii="Garamond" w:eastAsia="Times New Roman" w:hAnsi="Garamond"/>
          <w:bCs/>
          <w:sz w:val="22"/>
          <w:szCs w:val="22"/>
          <w:lang w:val="en-US"/>
        </w:rPr>
      </w:pPr>
    </w:p>
    <w:p w:rsidR="000B2BC5" w:rsidRPr="00272724" w:rsidRDefault="000B2BC5" w:rsidP="000B2BC5">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0B2BC5" w:rsidRPr="00272724" w:rsidRDefault="000B2BC5" w:rsidP="000B2BC5">
      <w:pPr>
        <w:spacing w:line="23" w:lineRule="atLeast"/>
        <w:rPr>
          <w:rFonts w:ascii="Garamond" w:eastAsia="Times New Roman" w:hAnsi="Garamond"/>
          <w:b/>
          <w:bCs/>
          <w:szCs w:val="22"/>
          <w:lang w:val="en-US"/>
        </w:rPr>
      </w:pPr>
      <w:r w:rsidRPr="00272724">
        <w:rPr>
          <w:rFonts w:ascii="Garamond" w:eastAsia="Times New Roman" w:hAnsi="Garamond"/>
          <w:b/>
          <w:bCs/>
          <w:szCs w:val="22"/>
          <w:lang w:val="en-US"/>
        </w:rPr>
        <w:t xml:space="preserve">Table A5: Index Futures and Index Options Traded in Major Exchanges </w:t>
      </w:r>
    </w:p>
    <w:p w:rsidR="000B2BC5" w:rsidRPr="00272724" w:rsidRDefault="000B2BC5" w:rsidP="000B2BC5">
      <w:pPr>
        <w:spacing w:line="23" w:lineRule="atLeast"/>
        <w:ind w:right="249"/>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10162" w:type="dxa"/>
        <w:tblLook w:val="04A0" w:firstRow="1" w:lastRow="0" w:firstColumn="1" w:lastColumn="0" w:noHBand="0" w:noVBand="1"/>
      </w:tblPr>
      <w:tblGrid>
        <w:gridCol w:w="3433"/>
        <w:gridCol w:w="1164"/>
        <w:gridCol w:w="1098"/>
        <w:gridCol w:w="1098"/>
        <w:gridCol w:w="1150"/>
        <w:gridCol w:w="1098"/>
        <w:gridCol w:w="1121"/>
      </w:tblGrid>
      <w:tr w:rsidR="000B2BC5" w:rsidRPr="00415B9F" w:rsidTr="00DB0339">
        <w:trPr>
          <w:trHeight w:val="258"/>
        </w:trPr>
        <w:tc>
          <w:tcPr>
            <w:tcW w:w="343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Exchange</w:t>
            </w:r>
          </w:p>
        </w:tc>
        <w:tc>
          <w:tcPr>
            <w:tcW w:w="6729" w:type="dxa"/>
            <w:gridSpan w:val="6"/>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Nov-20</w:t>
            </w:r>
          </w:p>
        </w:tc>
      </w:tr>
      <w:tr w:rsidR="000B2BC5" w:rsidRPr="00415B9F" w:rsidTr="00DB0339">
        <w:trPr>
          <w:trHeight w:val="258"/>
        </w:trPr>
        <w:tc>
          <w:tcPr>
            <w:tcW w:w="3433"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3360" w:type="dxa"/>
            <w:gridSpan w:val="3"/>
            <w:tcBorders>
              <w:top w:val="single" w:sz="4" w:space="0" w:color="auto"/>
              <w:left w:val="nil"/>
              <w:bottom w:val="single" w:sz="4" w:space="0" w:color="auto"/>
              <w:right w:val="single" w:sz="4" w:space="0" w:color="000000"/>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Stock Index Futures</w:t>
            </w:r>
          </w:p>
        </w:tc>
        <w:tc>
          <w:tcPr>
            <w:tcW w:w="3369"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Stock Index Options</w:t>
            </w:r>
          </w:p>
        </w:tc>
      </w:tr>
      <w:tr w:rsidR="000B2BC5" w:rsidRPr="00415B9F" w:rsidTr="00DB0339">
        <w:trPr>
          <w:trHeight w:val="671"/>
        </w:trPr>
        <w:tc>
          <w:tcPr>
            <w:tcW w:w="3433"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1164"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098"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098"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c>
          <w:tcPr>
            <w:tcW w:w="1150"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098"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121" w:type="dxa"/>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B3 - Brasil Bolsa Balcão</w:t>
            </w:r>
          </w:p>
        </w:tc>
        <w:tc>
          <w:tcPr>
            <w:tcW w:w="1164" w:type="dxa"/>
            <w:tcBorders>
              <w:top w:val="single" w:sz="8" w:space="0" w:color="auto"/>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288,867,931</w:t>
            </w:r>
          </w:p>
        </w:tc>
        <w:tc>
          <w:tcPr>
            <w:tcW w:w="1098"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1,188,384</w:t>
            </w:r>
          </w:p>
        </w:tc>
        <w:tc>
          <w:tcPr>
            <w:tcW w:w="1098"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1,380,263</w:t>
            </w:r>
          </w:p>
        </w:tc>
        <w:tc>
          <w:tcPr>
            <w:tcW w:w="1150"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5,407,463</w:t>
            </w:r>
          </w:p>
        </w:tc>
        <w:tc>
          <w:tcPr>
            <w:tcW w:w="1098"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44,434</w:t>
            </w:r>
          </w:p>
        </w:tc>
        <w:tc>
          <w:tcPr>
            <w:tcW w:w="1121"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545,354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de Valores de Colombia</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2,525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5,071</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Bolsa Mexicana de Valores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30,995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618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15,571</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1,890</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Cboe Global Markets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33,250,021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23,566,670</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Nasdaq - US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233,931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MIAX Exchange Group</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Matba Rofex</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127,708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112</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12,254</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530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217</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CME Group</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95,784,515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9,978,301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4,731,376</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11,588,306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2,205,571</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3,197,964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Cboe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3,503,081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277,692</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ASX Australian Securities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1,036,511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120,397</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319,709</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403,108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18,488</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623,282</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Hong Kong Exchanges and Clearing</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8,506,658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800,445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665,686</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2,778,185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179,394</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2,662,499</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Japan Exchange Group</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27,670,671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1,334,521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1,878,374</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2,724,125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1,974,788</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Korea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11,746,091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542,408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770,949</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65,364,504</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4,841,497</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2,726,898</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National Stock Exchange of India</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10,516,563</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111,668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229,685</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661,486,860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7,053,431</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2,279,677</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Singapore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14,154,856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1,589,100</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682,906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2,006,218</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Taiwan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8,269,191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431,313</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182,996</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16,860,547</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395,652</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585,734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Thailand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6,621,005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363,883</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270,639</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105,614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Bursa Malaysia Derivatives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294,771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5,669</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27,615</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885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214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China Financial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5,907,494</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1,167,403</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523,197</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1,911,134</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2,276</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134,328</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Athens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41,126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155</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4,489</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3,300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1,652</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BME Spanish Exchanges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623,261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46,716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111,415</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265,034</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2,391</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828,809</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Borsa Istanbul</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8,710,061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15,696</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507,168</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23,498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18,955</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Budapest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73,663</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17,461</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Deutsche Boerse AG</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39,696,618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1,892,108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10,841,059</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43,178,244</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1,466,193</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58,252,644</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Euronext</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Moscow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13,990,671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33,647</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550,898</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1,453,460</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3,508</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401,372</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Nasdaq Nordic and Baltics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58"/>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Tel-Aviv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2,532,078</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109,312</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172,318</w:t>
            </w:r>
          </w:p>
        </w:tc>
      </w:tr>
      <w:tr w:rsidR="000B2BC5" w:rsidRPr="00415B9F" w:rsidTr="00DB0339">
        <w:trPr>
          <w:trHeight w:val="271"/>
        </w:trPr>
        <w:tc>
          <w:tcPr>
            <w:tcW w:w="3433"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Warsaw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568,822</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5,221</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45,889</w:t>
            </w:r>
          </w:p>
        </w:tc>
        <w:tc>
          <w:tcPr>
            <w:tcW w:w="1150"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37,192</w:t>
            </w:r>
          </w:p>
        </w:tc>
        <w:tc>
          <w:tcPr>
            <w:tcW w:w="109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174</w:t>
            </w:r>
          </w:p>
        </w:tc>
        <w:tc>
          <w:tcPr>
            <w:tcW w:w="112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25,970</w:t>
            </w:r>
          </w:p>
        </w:tc>
      </w:tr>
      <w:tr w:rsidR="000B2BC5" w:rsidRPr="00415B9F" w:rsidTr="00DB0339">
        <w:trPr>
          <w:trHeight w:val="271"/>
        </w:trPr>
        <w:tc>
          <w:tcPr>
            <w:tcW w:w="3433" w:type="dxa"/>
            <w:tcBorders>
              <w:top w:val="single" w:sz="8" w:space="0" w:color="auto"/>
              <w:left w:val="single" w:sz="8" w:space="0" w:color="auto"/>
              <w:bottom w:val="single" w:sz="8" w:space="0" w:color="auto"/>
              <w:right w:val="nil"/>
            </w:tcBorders>
            <w:shd w:val="clear" w:color="000000" w:fill="D9E1F2"/>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Grand Total</w:t>
            </w:r>
          </w:p>
        </w:tc>
        <w:tc>
          <w:tcPr>
            <w:tcW w:w="1164"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546,744,788</w:t>
            </w:r>
          </w:p>
        </w:tc>
        <w:tc>
          <w:tcPr>
            <w:tcW w:w="1098"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17,674,873</w:t>
            </w:r>
          </w:p>
        </w:tc>
        <w:tc>
          <w:tcPr>
            <w:tcW w:w="1098"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25,051,800</w:t>
            </w:r>
          </w:p>
        </w:tc>
        <w:tc>
          <w:tcPr>
            <w:tcW w:w="1150"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850,456,128</w:t>
            </w:r>
          </w:p>
        </w:tc>
        <w:tc>
          <w:tcPr>
            <w:tcW w:w="1098" w:type="dxa"/>
            <w:tcBorders>
              <w:top w:val="single" w:sz="8" w:space="0" w:color="auto"/>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16,322,376</w:t>
            </w:r>
          </w:p>
        </w:tc>
        <w:tc>
          <w:tcPr>
            <w:tcW w:w="1121" w:type="dxa"/>
            <w:tcBorders>
              <w:top w:val="single" w:sz="8" w:space="0" w:color="auto"/>
              <w:left w:val="nil"/>
              <w:bottom w:val="single" w:sz="8" w:space="0" w:color="auto"/>
              <w:right w:val="single" w:sz="8" w:space="0" w:color="auto"/>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100,113,067</w:t>
            </w:r>
          </w:p>
        </w:tc>
      </w:tr>
    </w:tbl>
    <w:p w:rsidR="000B2BC5" w:rsidRPr="00272724" w:rsidRDefault="000B2BC5" w:rsidP="000B2BC5">
      <w:pPr>
        <w:spacing w:line="23" w:lineRule="atLeast"/>
        <w:rPr>
          <w:rFonts w:ascii="Garamond" w:hAnsi="Garamond"/>
          <w:bCs/>
          <w:sz w:val="18"/>
          <w:szCs w:val="18"/>
        </w:rPr>
      </w:pPr>
    </w:p>
    <w:p w:rsidR="000B2BC5" w:rsidRPr="00272724" w:rsidRDefault="000B2BC5" w:rsidP="000B2BC5">
      <w:pPr>
        <w:spacing w:line="23" w:lineRule="atLeast"/>
        <w:jc w:val="both"/>
        <w:outlineLvl w:val="0"/>
        <w:rPr>
          <w:rFonts w:ascii="Garamond" w:eastAsia="Times New Roman" w:hAnsi="Garamond" w:cs="Calibri"/>
          <w:color w:val="000000"/>
          <w:sz w:val="20"/>
          <w:szCs w:val="20"/>
          <w:lang w:val="en-IN" w:eastAsia="en-IN"/>
        </w:rPr>
      </w:pPr>
      <w:r w:rsidRPr="00272724">
        <w:rPr>
          <w:rFonts w:ascii="Garamond" w:hAnsi="Garamond"/>
          <w:bCs/>
          <w:sz w:val="18"/>
          <w:szCs w:val="18"/>
        </w:rPr>
        <w:t>NA: Not Available</w:t>
      </w:r>
      <w:r w:rsidRPr="00272724">
        <w:rPr>
          <w:rFonts w:ascii="Garamond" w:eastAsia="Times New Roman" w:hAnsi="Garamond" w:cs="Calibri"/>
          <w:color w:val="000000"/>
          <w:sz w:val="20"/>
          <w:szCs w:val="20"/>
          <w:lang w:val="en-IN" w:eastAsia="en-IN"/>
        </w:rPr>
        <w:t>.</w:t>
      </w:r>
    </w:p>
    <w:p w:rsidR="000B2BC5" w:rsidRPr="00272724" w:rsidRDefault="000B2BC5" w:rsidP="000B2BC5">
      <w:pPr>
        <w:spacing w:line="23" w:lineRule="atLeast"/>
        <w:jc w:val="both"/>
        <w:outlineLvl w:val="0"/>
        <w:rPr>
          <w:rFonts w:ascii="Garamond" w:eastAsia="Times New Roman" w:hAnsi="Garamond"/>
          <w:bCs/>
          <w:sz w:val="18"/>
          <w:szCs w:val="18"/>
          <w:lang w:val="en-US"/>
        </w:rPr>
      </w:pPr>
      <w:r w:rsidRPr="00272724">
        <w:rPr>
          <w:rFonts w:ascii="Garamond" w:hAnsi="Garamond"/>
          <w:bCs/>
          <w:sz w:val="18"/>
          <w:szCs w:val="18"/>
        </w:rPr>
        <w:t>Source: World Federation of Exchanges</w:t>
      </w:r>
      <w:r w:rsidRPr="00272724">
        <w:rPr>
          <w:rFonts w:ascii="Garamond" w:eastAsia="Times New Roman" w:hAnsi="Garamond"/>
          <w:bCs/>
          <w:sz w:val="18"/>
          <w:szCs w:val="18"/>
          <w:lang w:val="en-US"/>
        </w:rPr>
        <w:tab/>
      </w:r>
    </w:p>
    <w:p w:rsidR="000B2BC5" w:rsidRPr="00272724" w:rsidRDefault="000B2BC5" w:rsidP="000B2BC5">
      <w:pPr>
        <w:spacing w:line="23" w:lineRule="atLeast"/>
        <w:jc w:val="both"/>
        <w:outlineLvl w:val="0"/>
        <w:rPr>
          <w:rFonts w:ascii="Garamond" w:eastAsia="Times New Roman" w:hAnsi="Garamond"/>
          <w:bCs/>
          <w:sz w:val="18"/>
          <w:szCs w:val="18"/>
          <w:lang w:val="en-US"/>
        </w:rPr>
      </w:pPr>
    </w:p>
    <w:p w:rsidR="000B2BC5" w:rsidRPr="00272724" w:rsidRDefault="000B2BC5" w:rsidP="000B2BC5">
      <w:pPr>
        <w:rPr>
          <w:rFonts w:ascii="Garamond" w:hAnsi="Garamond"/>
          <w:bCs/>
          <w:strike/>
          <w:sz w:val="22"/>
          <w:szCs w:val="22"/>
        </w:rPr>
      </w:pPr>
      <w:r w:rsidRPr="00272724">
        <w:rPr>
          <w:rFonts w:ascii="Garamond" w:hAnsi="Garamond"/>
          <w:bCs/>
          <w:strike/>
          <w:sz w:val="22"/>
          <w:szCs w:val="22"/>
        </w:rPr>
        <w:br w:type="page"/>
      </w:r>
    </w:p>
    <w:p w:rsidR="000B2BC5" w:rsidRPr="00272724" w:rsidRDefault="000B2BC5" w:rsidP="000B2BC5">
      <w:pPr>
        <w:spacing w:line="23" w:lineRule="atLeast"/>
        <w:jc w:val="both"/>
        <w:rPr>
          <w:rFonts w:ascii="Garamond" w:hAnsi="Garamond"/>
          <w:b/>
          <w:sz w:val="28"/>
          <w:lang w:val="en-US"/>
        </w:rPr>
      </w:pPr>
      <w:r w:rsidRPr="00272724">
        <w:rPr>
          <w:rFonts w:ascii="Garamond" w:hAnsi="Garamond"/>
          <w:b/>
          <w:bCs/>
          <w:szCs w:val="22"/>
        </w:rPr>
        <w:t>Table A6: Currency Futures and Options Traded in Major Exchanges</w:t>
      </w:r>
    </w:p>
    <w:p w:rsidR="000B2BC5" w:rsidRPr="00272724" w:rsidRDefault="000B2BC5" w:rsidP="000B2BC5">
      <w:pPr>
        <w:ind w:right="957"/>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10232" w:type="dxa"/>
        <w:tblLook w:val="04A0" w:firstRow="1" w:lastRow="0" w:firstColumn="1" w:lastColumn="0" w:noHBand="0" w:noVBand="1"/>
      </w:tblPr>
      <w:tblGrid>
        <w:gridCol w:w="3538"/>
        <w:gridCol w:w="1164"/>
        <w:gridCol w:w="1105"/>
        <w:gridCol w:w="1108"/>
        <w:gridCol w:w="1106"/>
        <w:gridCol w:w="1105"/>
        <w:gridCol w:w="1106"/>
      </w:tblGrid>
      <w:tr w:rsidR="000B2BC5" w:rsidRPr="00415B9F" w:rsidTr="00DB0339">
        <w:trPr>
          <w:trHeight w:val="236"/>
        </w:trPr>
        <w:tc>
          <w:tcPr>
            <w:tcW w:w="353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Exchange</w:t>
            </w:r>
          </w:p>
        </w:tc>
        <w:tc>
          <w:tcPr>
            <w:tcW w:w="6694" w:type="dxa"/>
            <w:gridSpan w:val="6"/>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Nov-20</w:t>
            </w:r>
          </w:p>
        </w:tc>
      </w:tr>
      <w:tr w:rsidR="000B2BC5" w:rsidRPr="00415B9F" w:rsidTr="00DB0339">
        <w:trPr>
          <w:trHeight w:val="236"/>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3377"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Currency Futures</w:t>
            </w:r>
          </w:p>
        </w:tc>
        <w:tc>
          <w:tcPr>
            <w:tcW w:w="3317"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Currency Options</w:t>
            </w:r>
          </w:p>
        </w:tc>
      </w:tr>
      <w:tr w:rsidR="000B2BC5" w:rsidRPr="00415B9F" w:rsidTr="00DB0339">
        <w:trPr>
          <w:trHeight w:val="6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1164"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105"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108"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c>
          <w:tcPr>
            <w:tcW w:w="1106"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105"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106"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B3 - Brasil Bolsa Balcão</w:t>
            </w:r>
          </w:p>
        </w:tc>
        <w:tc>
          <w:tcPr>
            <w:tcW w:w="1164" w:type="dxa"/>
            <w:tcBorders>
              <w:top w:val="single" w:sz="8" w:space="0" w:color="auto"/>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76,276,174</w:t>
            </w:r>
          </w:p>
        </w:tc>
        <w:tc>
          <w:tcPr>
            <w:tcW w:w="1105"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1,003,275</w:t>
            </w:r>
          </w:p>
        </w:tc>
        <w:tc>
          <w:tcPr>
            <w:tcW w:w="1108"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6,322,020</w:t>
            </w:r>
          </w:p>
        </w:tc>
        <w:tc>
          <w:tcPr>
            <w:tcW w:w="1106"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489,155</w:t>
            </w:r>
          </w:p>
        </w:tc>
        <w:tc>
          <w:tcPr>
            <w:tcW w:w="1105"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441</w:t>
            </w:r>
          </w:p>
        </w:tc>
        <w:tc>
          <w:tcPr>
            <w:tcW w:w="1106"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807,026</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de Valores de Colombia</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15,825</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752</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11,389</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30</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Mexicana de Valores</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113,464</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1,149</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530,041</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1,000</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6,880</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Matba Rofex</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9,215,796</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9,892</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3,986,108</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1,211</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91</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CME Group</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14,497,015</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1,328,413</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1,721,924</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674,322</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78,753</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632,473</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Hong Kong Exchanges and Clearing</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174,823</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16,967</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27,915</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286</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29</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3,269</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Korea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9,189,571</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92,657</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833,520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National Stock Exchange of India</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66,199,472</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69,503</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3,374,872</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68,469,574</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68,890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3,747,909</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Singapore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2,105,889</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132,730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1,937</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Taiwan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20,279</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620</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3,808</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34</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722</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Thailand Futures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295,255</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53,073</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Borsa Istanbul</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9,031,648</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9,539</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3,013,453</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91,323</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94</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71,643</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Budapest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512,364</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589</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628,236</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4,000</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Moscow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84,975,313</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87,081</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3,881,814</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1,913,729</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1,967</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1,535,946</w:t>
            </w:r>
          </w:p>
        </w:tc>
      </w:tr>
      <w:tr w:rsidR="000B2BC5" w:rsidRPr="00415B9F" w:rsidTr="00DB0339">
        <w:trPr>
          <w:trHeight w:val="236"/>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Tel-Aviv Stock Exchange</w:t>
            </w:r>
          </w:p>
        </w:tc>
        <w:tc>
          <w:tcPr>
            <w:tcW w:w="1164"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8"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1,049,291</w:t>
            </w:r>
          </w:p>
        </w:tc>
        <w:tc>
          <w:tcPr>
            <w:tcW w:w="1105"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10,656</w:t>
            </w:r>
          </w:p>
        </w:tc>
        <w:tc>
          <w:tcPr>
            <w:tcW w:w="110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527,405</w:t>
            </w:r>
          </w:p>
        </w:tc>
      </w:tr>
      <w:tr w:rsidR="000B2BC5" w:rsidRPr="00415B9F" w:rsidTr="00DB0339">
        <w:trPr>
          <w:trHeight w:val="248"/>
        </w:trPr>
        <w:tc>
          <w:tcPr>
            <w:tcW w:w="3538"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Dubai Gold and Commodities Exchange</w:t>
            </w:r>
          </w:p>
        </w:tc>
        <w:tc>
          <w:tcPr>
            <w:tcW w:w="1164" w:type="dxa"/>
            <w:tcBorders>
              <w:top w:val="nil"/>
              <w:left w:val="single" w:sz="8" w:space="0" w:color="auto"/>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872,521</w:t>
            </w:r>
          </w:p>
        </w:tc>
        <w:tc>
          <w:tcPr>
            <w:tcW w:w="1105"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5,801</w:t>
            </w:r>
          </w:p>
        </w:tc>
        <w:tc>
          <w:tcPr>
            <w:tcW w:w="1108"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190,159</w:t>
            </w:r>
          </w:p>
        </w:tc>
        <w:tc>
          <w:tcPr>
            <w:tcW w:w="1106"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5"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106"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538" w:type="dxa"/>
            <w:tcBorders>
              <w:top w:val="single" w:sz="8" w:space="0" w:color="auto"/>
              <w:left w:val="single" w:sz="8" w:space="0" w:color="auto"/>
              <w:bottom w:val="single" w:sz="8" w:space="0" w:color="auto"/>
              <w:right w:val="nil"/>
            </w:tcBorders>
            <w:shd w:val="clear" w:color="000000" w:fill="D9E1F2"/>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Grand Total</w:t>
            </w:r>
          </w:p>
        </w:tc>
        <w:tc>
          <w:tcPr>
            <w:tcW w:w="1164"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273,495,409</w:t>
            </w:r>
          </w:p>
        </w:tc>
        <w:tc>
          <w:tcPr>
            <w:tcW w:w="1105"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2,626,238</w:t>
            </w:r>
          </w:p>
        </w:tc>
        <w:tc>
          <w:tcPr>
            <w:tcW w:w="1108"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24,711,062</w:t>
            </w:r>
          </w:p>
        </w:tc>
        <w:tc>
          <w:tcPr>
            <w:tcW w:w="1106"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72,691,865</w:t>
            </w:r>
          </w:p>
        </w:tc>
        <w:tc>
          <w:tcPr>
            <w:tcW w:w="1105"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160,843</w:t>
            </w:r>
          </w:p>
        </w:tc>
        <w:tc>
          <w:tcPr>
            <w:tcW w:w="1106" w:type="dxa"/>
            <w:tcBorders>
              <w:top w:val="nil"/>
              <w:left w:val="nil"/>
              <w:bottom w:val="single" w:sz="8" w:space="0" w:color="auto"/>
              <w:right w:val="single" w:sz="8" w:space="0" w:color="auto"/>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7,337,394</w:t>
            </w:r>
          </w:p>
        </w:tc>
      </w:tr>
    </w:tbl>
    <w:p w:rsidR="000B2BC5" w:rsidRPr="00272724" w:rsidRDefault="000B2BC5" w:rsidP="000B2BC5">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r w:rsidRPr="00272724">
        <w:rPr>
          <w:rFonts w:ascii="Garamond" w:eastAsia="Times New Roman" w:hAnsi="Garamond"/>
          <w:bCs/>
          <w:sz w:val="18"/>
          <w:szCs w:val="18"/>
          <w:lang w:val="en-US"/>
        </w:rPr>
        <w:tab/>
      </w:r>
    </w:p>
    <w:p w:rsidR="000B2BC5" w:rsidRPr="00272724" w:rsidRDefault="000B2BC5" w:rsidP="000B2BC5">
      <w:pPr>
        <w:spacing w:line="23" w:lineRule="atLeast"/>
        <w:jc w:val="both"/>
        <w:rPr>
          <w:rFonts w:ascii="Garamond" w:hAnsi="Garamond"/>
          <w:bCs/>
          <w:sz w:val="18"/>
          <w:szCs w:val="18"/>
        </w:rPr>
      </w:pPr>
      <w:r w:rsidRPr="00272724">
        <w:rPr>
          <w:rFonts w:ascii="Garamond" w:hAnsi="Garamond"/>
          <w:bCs/>
          <w:sz w:val="18"/>
          <w:szCs w:val="18"/>
        </w:rPr>
        <w:t>NA: Not Available</w:t>
      </w:r>
    </w:p>
    <w:p w:rsidR="000B2BC5" w:rsidRPr="00436420"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0B2BC5" w:rsidRPr="00272724" w:rsidRDefault="000B2BC5" w:rsidP="000B2BC5">
      <w:pPr>
        <w:spacing w:line="23" w:lineRule="atLeast"/>
        <w:rPr>
          <w:rFonts w:ascii="Garamond" w:hAnsi="Garamond"/>
          <w:bCs/>
          <w:sz w:val="22"/>
          <w:szCs w:val="22"/>
        </w:rPr>
      </w:pPr>
    </w:p>
    <w:p w:rsidR="000B2BC5" w:rsidRPr="00436420" w:rsidRDefault="000B2BC5" w:rsidP="000B2BC5">
      <w:pPr>
        <w:rPr>
          <w:rFonts w:ascii="Garamond" w:eastAsia="Times New Roman" w:hAnsi="Garamond"/>
          <w:bCs/>
          <w:strike/>
          <w:sz w:val="22"/>
          <w:szCs w:val="22"/>
          <w:lang w:val="en-US"/>
        </w:rPr>
      </w:pPr>
      <w:r w:rsidRPr="00272724">
        <w:rPr>
          <w:rFonts w:ascii="Garamond" w:eastAsia="Times New Roman" w:hAnsi="Garamond"/>
          <w:b/>
          <w:bCs/>
          <w:szCs w:val="22"/>
          <w:lang w:val="en-US"/>
        </w:rPr>
        <w:t>Table A7: Interest Rate Futures and Options Traded in Major Exchanges</w:t>
      </w:r>
    </w:p>
    <w:p w:rsidR="000B2BC5" w:rsidRPr="00272724" w:rsidRDefault="000B2BC5" w:rsidP="000B2BC5">
      <w:pPr>
        <w:spacing w:line="23" w:lineRule="atLeast"/>
        <w:jc w:val="right"/>
        <w:rPr>
          <w:rFonts w:ascii="Garamond" w:eastAsia="Times New Roman" w:hAnsi="Garamond"/>
          <w:bCs/>
          <w:sz w:val="22"/>
          <w:szCs w:val="22"/>
          <w:lang w:val="en-US"/>
        </w:rPr>
      </w:pPr>
      <w:r w:rsidRPr="00272724">
        <w:rPr>
          <w:rFonts w:ascii="Garamond" w:hAnsi="Garamond"/>
          <w:bCs/>
          <w:sz w:val="22"/>
          <w:szCs w:val="22"/>
        </w:rPr>
        <w:t>Notional Turnover in (USD million)</w:t>
      </w:r>
    </w:p>
    <w:tbl>
      <w:tblPr>
        <w:tblW w:w="9633" w:type="dxa"/>
        <w:tblLook w:val="04A0" w:firstRow="1" w:lastRow="0" w:firstColumn="1" w:lastColumn="0" w:noHBand="0" w:noVBand="1"/>
      </w:tblPr>
      <w:tblGrid>
        <w:gridCol w:w="3194"/>
        <w:gridCol w:w="1148"/>
        <w:gridCol w:w="1054"/>
        <w:gridCol w:w="1056"/>
        <w:gridCol w:w="1056"/>
        <w:gridCol w:w="1054"/>
        <w:gridCol w:w="1071"/>
      </w:tblGrid>
      <w:tr w:rsidR="000B2BC5" w:rsidRPr="00415B9F" w:rsidTr="00DB0339">
        <w:trPr>
          <w:trHeight w:val="226"/>
        </w:trPr>
        <w:tc>
          <w:tcPr>
            <w:tcW w:w="319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Exchange</w:t>
            </w:r>
          </w:p>
        </w:tc>
        <w:tc>
          <w:tcPr>
            <w:tcW w:w="6439" w:type="dxa"/>
            <w:gridSpan w:val="6"/>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Nov-20</w:t>
            </w:r>
          </w:p>
        </w:tc>
      </w:tr>
      <w:tr w:rsidR="000B2BC5" w:rsidRPr="00415B9F" w:rsidTr="00DB0339">
        <w:trPr>
          <w:trHeight w:val="226"/>
        </w:trPr>
        <w:tc>
          <w:tcPr>
            <w:tcW w:w="3194"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3258"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Interest Rate Futures</w:t>
            </w:r>
          </w:p>
        </w:tc>
        <w:tc>
          <w:tcPr>
            <w:tcW w:w="3181"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Interest Rate Options</w:t>
            </w:r>
          </w:p>
        </w:tc>
      </w:tr>
      <w:tr w:rsidR="000B2BC5" w:rsidRPr="00415B9F" w:rsidTr="00DB0339">
        <w:trPr>
          <w:trHeight w:val="588"/>
        </w:trPr>
        <w:tc>
          <w:tcPr>
            <w:tcW w:w="3194" w:type="dxa"/>
            <w:vMerge/>
            <w:tcBorders>
              <w:top w:val="single" w:sz="4" w:space="0" w:color="auto"/>
              <w:left w:val="single" w:sz="4" w:space="0" w:color="auto"/>
              <w:bottom w:val="single" w:sz="4" w:space="0" w:color="auto"/>
              <w:right w:val="single" w:sz="4" w:space="0" w:color="auto"/>
            </w:tcBorders>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p>
        </w:tc>
        <w:tc>
          <w:tcPr>
            <w:tcW w:w="1148"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054"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056"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c>
          <w:tcPr>
            <w:tcW w:w="1056"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Number of</w:t>
            </w:r>
            <w:r w:rsidRPr="006F08B6">
              <w:rPr>
                <w:rFonts w:ascii="Garamond" w:eastAsia="Times New Roman" w:hAnsi="Garamond" w:cs="Calibri"/>
                <w:b/>
                <w:bCs/>
                <w:color w:val="000000"/>
                <w:sz w:val="20"/>
                <w:szCs w:val="20"/>
                <w:lang w:val="en-IN" w:eastAsia="en-IN" w:bidi="hi-IN"/>
              </w:rPr>
              <w:br/>
              <w:t>Contracts Traded</w:t>
            </w:r>
          </w:p>
        </w:tc>
        <w:tc>
          <w:tcPr>
            <w:tcW w:w="1054"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Notional</w:t>
            </w:r>
            <w:r w:rsidRPr="006F08B6">
              <w:rPr>
                <w:rFonts w:ascii="Garamond" w:eastAsia="Times New Roman" w:hAnsi="Garamond" w:cs="Calibri"/>
                <w:b/>
                <w:bCs/>
                <w:color w:val="000000"/>
                <w:sz w:val="20"/>
                <w:szCs w:val="20"/>
                <w:lang w:val="en-IN" w:eastAsia="en-IN" w:bidi="hi-IN"/>
              </w:rPr>
              <w:br/>
              <w:t>Turnover</w:t>
            </w:r>
          </w:p>
        </w:tc>
        <w:tc>
          <w:tcPr>
            <w:tcW w:w="1071" w:type="dxa"/>
            <w:tcBorders>
              <w:top w:val="nil"/>
              <w:left w:val="nil"/>
              <w:bottom w:val="single" w:sz="4" w:space="0" w:color="auto"/>
              <w:right w:val="single" w:sz="4" w:space="0" w:color="auto"/>
            </w:tcBorders>
            <w:shd w:val="clear" w:color="000000" w:fill="B4C6E7"/>
            <w:vAlign w:val="center"/>
            <w:hideMark/>
          </w:tcPr>
          <w:p w:rsidR="000B2BC5" w:rsidRPr="006F08B6" w:rsidRDefault="000B2BC5" w:rsidP="00DB0339">
            <w:pPr>
              <w:jc w:val="cente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Open</w:t>
            </w:r>
            <w:r w:rsidRPr="006F08B6">
              <w:rPr>
                <w:rFonts w:ascii="Garamond" w:eastAsia="Times New Roman" w:hAnsi="Garamond" w:cs="Calibri"/>
                <w:b/>
                <w:bCs/>
                <w:color w:val="000000"/>
                <w:sz w:val="20"/>
                <w:szCs w:val="20"/>
                <w:lang w:val="en-IN" w:eastAsia="en-IN" w:bidi="hi-IN"/>
              </w:rPr>
              <w:br/>
              <w:t>Interest</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B3 - Brasil Bolsa Balcão</w:t>
            </w:r>
          </w:p>
        </w:tc>
        <w:tc>
          <w:tcPr>
            <w:tcW w:w="1148" w:type="dxa"/>
            <w:tcBorders>
              <w:top w:val="single" w:sz="8" w:space="0" w:color="auto"/>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39,443,697</w:t>
            </w:r>
          </w:p>
        </w:tc>
        <w:tc>
          <w:tcPr>
            <w:tcW w:w="1054"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1,000,747</w:t>
            </w:r>
          </w:p>
        </w:tc>
        <w:tc>
          <w:tcPr>
            <w:tcW w:w="1056"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31,461,524</w:t>
            </w:r>
          </w:p>
        </w:tc>
        <w:tc>
          <w:tcPr>
            <w:tcW w:w="1056"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13,179,627</w:t>
            </w:r>
          </w:p>
        </w:tc>
        <w:tc>
          <w:tcPr>
            <w:tcW w:w="1054"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610</w:t>
            </w:r>
          </w:p>
        </w:tc>
        <w:tc>
          <w:tcPr>
            <w:tcW w:w="1071" w:type="dxa"/>
            <w:tcBorders>
              <w:top w:val="single" w:sz="8" w:space="0" w:color="auto"/>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48,338,155</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de Valores de Colombia</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25,415</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1,934</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12,031</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Bolsa Mexicana de Valores</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1,500</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5,200</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CME Group</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148,097,617</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61,298,910</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23,776,080</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26,904,308</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13,486,173</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36,191,658</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ASX Australian Securities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10,197,324</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1,816,972</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3,758,096</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9,148</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672</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4,900</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Japan Exchange Group</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508,448</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77,194</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21,339</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987</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Korea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3,128,015</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336,046</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518,050</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National Stock Exchange of India</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187,096</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505</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54,062</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0</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Singapore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19,957</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13,966</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China Financial Futures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2,346,030</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379,270</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181,472</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6F08B6" w:rsidRDefault="000B2BC5" w:rsidP="00DB0339">
            <w:pPr>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Deutsche Boerse AG</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36,451,087</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6,626,124</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5,311,184</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3,493,839</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652,097</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1,337,736</w:t>
            </w:r>
          </w:p>
        </w:tc>
      </w:tr>
      <w:tr w:rsidR="000B2BC5" w:rsidRPr="00415B9F" w:rsidTr="00DB0339">
        <w:trPr>
          <w:trHeight w:val="226"/>
        </w:trPr>
        <w:tc>
          <w:tcPr>
            <w:tcW w:w="3194"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Moscow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5,921</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2</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 xml:space="preserve"> 34,268</w:t>
            </w:r>
          </w:p>
        </w:tc>
        <w:tc>
          <w:tcPr>
            <w:tcW w:w="1056"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7"/>
        </w:trPr>
        <w:tc>
          <w:tcPr>
            <w:tcW w:w="3194" w:type="dxa"/>
            <w:tcBorders>
              <w:top w:val="nil"/>
              <w:left w:val="single" w:sz="4" w:space="0" w:color="auto"/>
              <w:bottom w:val="nil"/>
              <w:right w:val="nil"/>
            </w:tcBorders>
            <w:shd w:val="clear" w:color="000000" w:fill="B4C6E7"/>
            <w:vAlign w:val="center"/>
            <w:hideMark/>
          </w:tcPr>
          <w:p w:rsidR="000B2BC5" w:rsidRPr="004C3443" w:rsidRDefault="000B2BC5" w:rsidP="00DB0339">
            <w:pPr>
              <w:rPr>
                <w:rFonts w:ascii="Garamond" w:eastAsia="Times New Roman" w:hAnsi="Garamond" w:cs="Calibri"/>
                <w:color w:val="000000"/>
                <w:sz w:val="20"/>
                <w:szCs w:val="20"/>
                <w:lang w:val="en-IN" w:eastAsia="en-IN" w:bidi="hi-IN"/>
              </w:rPr>
            </w:pPr>
            <w:r w:rsidRPr="004C3443">
              <w:rPr>
                <w:rFonts w:ascii="Garamond" w:eastAsia="Times New Roman" w:hAnsi="Garamond" w:cs="Calibri"/>
                <w:color w:val="000000"/>
                <w:sz w:val="20"/>
                <w:szCs w:val="20"/>
                <w:lang w:val="en-IN" w:eastAsia="en-IN" w:bidi="hi-IN"/>
              </w:rPr>
              <w:t>Nasdaq Nordic and Baltics</w:t>
            </w:r>
          </w:p>
        </w:tc>
        <w:tc>
          <w:tcPr>
            <w:tcW w:w="1148" w:type="dxa"/>
            <w:tcBorders>
              <w:top w:val="nil"/>
              <w:left w:val="single" w:sz="8" w:space="0" w:color="auto"/>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6"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6"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54"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c>
          <w:tcPr>
            <w:tcW w:w="1071" w:type="dxa"/>
            <w:tcBorders>
              <w:top w:val="nil"/>
              <w:left w:val="nil"/>
              <w:bottom w:val="single" w:sz="8" w:space="0" w:color="auto"/>
              <w:right w:val="single" w:sz="8" w:space="0" w:color="auto"/>
            </w:tcBorders>
            <w:shd w:val="clear" w:color="auto" w:fill="auto"/>
            <w:vAlign w:val="center"/>
            <w:hideMark/>
          </w:tcPr>
          <w:p w:rsidR="000B2BC5" w:rsidRPr="006F08B6" w:rsidRDefault="000B2BC5" w:rsidP="00DB0339">
            <w:pPr>
              <w:jc w:val="right"/>
              <w:rPr>
                <w:rFonts w:ascii="Garamond" w:eastAsia="Times New Roman" w:hAnsi="Garamond" w:cs="Calibri"/>
                <w:color w:val="000000"/>
                <w:sz w:val="20"/>
                <w:szCs w:val="20"/>
                <w:lang w:val="en-IN" w:eastAsia="en-IN" w:bidi="hi-IN"/>
              </w:rPr>
            </w:pPr>
            <w:r w:rsidRPr="006F08B6">
              <w:rPr>
                <w:rFonts w:ascii="Garamond" w:eastAsia="Times New Roman" w:hAnsi="Garamond" w:cs="Calibri"/>
                <w:color w:val="000000"/>
                <w:sz w:val="20"/>
                <w:szCs w:val="20"/>
                <w:lang w:val="en-IN" w:eastAsia="en-IN" w:bidi="hi-IN"/>
              </w:rPr>
              <w:t>NA</w:t>
            </w:r>
          </w:p>
        </w:tc>
      </w:tr>
      <w:tr w:rsidR="000B2BC5" w:rsidRPr="00415B9F" w:rsidTr="00DB0339">
        <w:trPr>
          <w:trHeight w:val="237"/>
        </w:trPr>
        <w:tc>
          <w:tcPr>
            <w:tcW w:w="3194" w:type="dxa"/>
            <w:tcBorders>
              <w:top w:val="single" w:sz="8" w:space="0" w:color="auto"/>
              <w:left w:val="single" w:sz="8" w:space="0" w:color="auto"/>
              <w:bottom w:val="single" w:sz="8" w:space="0" w:color="auto"/>
              <w:right w:val="nil"/>
            </w:tcBorders>
            <w:shd w:val="clear" w:color="000000" w:fill="D9E1F2"/>
            <w:vAlign w:val="center"/>
            <w:hideMark/>
          </w:tcPr>
          <w:p w:rsidR="000B2BC5" w:rsidRPr="006F08B6" w:rsidRDefault="000B2BC5" w:rsidP="00DB0339">
            <w:pPr>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Grand Total</w:t>
            </w:r>
          </w:p>
        </w:tc>
        <w:tc>
          <w:tcPr>
            <w:tcW w:w="1148"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240,412,107</w:t>
            </w:r>
          </w:p>
        </w:tc>
        <w:tc>
          <w:tcPr>
            <w:tcW w:w="1054"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71,460,517</w:t>
            </w:r>
          </w:p>
        </w:tc>
        <w:tc>
          <w:tcPr>
            <w:tcW w:w="1056"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65,203,127</w:t>
            </w:r>
          </w:p>
        </w:tc>
        <w:tc>
          <w:tcPr>
            <w:tcW w:w="1056"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43,608,261</w:t>
            </w:r>
          </w:p>
        </w:tc>
        <w:tc>
          <w:tcPr>
            <w:tcW w:w="1054" w:type="dxa"/>
            <w:tcBorders>
              <w:top w:val="nil"/>
              <w:left w:val="nil"/>
              <w:bottom w:val="single" w:sz="8" w:space="0" w:color="auto"/>
              <w:right w:val="nil"/>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14,139,552</w:t>
            </w:r>
          </w:p>
        </w:tc>
        <w:tc>
          <w:tcPr>
            <w:tcW w:w="1071" w:type="dxa"/>
            <w:tcBorders>
              <w:top w:val="nil"/>
              <w:left w:val="nil"/>
              <w:bottom w:val="single" w:sz="8" w:space="0" w:color="auto"/>
              <w:right w:val="single" w:sz="8" w:space="0" w:color="auto"/>
            </w:tcBorders>
            <w:shd w:val="clear" w:color="000000" w:fill="D9E1F2"/>
            <w:vAlign w:val="bottom"/>
            <w:hideMark/>
          </w:tcPr>
          <w:p w:rsidR="000B2BC5" w:rsidRPr="006F08B6" w:rsidRDefault="000B2BC5" w:rsidP="00DB0339">
            <w:pPr>
              <w:jc w:val="right"/>
              <w:rPr>
                <w:rFonts w:ascii="Garamond" w:eastAsia="Times New Roman" w:hAnsi="Garamond" w:cs="Calibri"/>
                <w:b/>
                <w:bCs/>
                <w:color w:val="000000"/>
                <w:sz w:val="20"/>
                <w:szCs w:val="20"/>
                <w:lang w:val="en-IN" w:eastAsia="en-IN" w:bidi="hi-IN"/>
              </w:rPr>
            </w:pPr>
            <w:r w:rsidRPr="006F08B6">
              <w:rPr>
                <w:rFonts w:ascii="Garamond" w:eastAsia="Times New Roman" w:hAnsi="Garamond" w:cs="Calibri"/>
                <w:b/>
                <w:bCs/>
                <w:color w:val="000000"/>
                <w:sz w:val="20"/>
                <w:szCs w:val="20"/>
                <w:lang w:val="en-IN" w:eastAsia="en-IN" w:bidi="hi-IN"/>
              </w:rPr>
              <w:t xml:space="preserve"> 85,873,436</w:t>
            </w:r>
          </w:p>
        </w:tc>
      </w:tr>
    </w:tbl>
    <w:p w:rsidR="000B2BC5" w:rsidRPr="00272724" w:rsidRDefault="000B2BC5" w:rsidP="000B2BC5">
      <w:pPr>
        <w:spacing w:line="23" w:lineRule="atLeast"/>
        <w:rPr>
          <w:rFonts w:ascii="Garamond" w:eastAsia="Times New Roman" w:hAnsi="Garamond"/>
          <w:bCs/>
          <w:sz w:val="18"/>
          <w:szCs w:val="18"/>
          <w:lang w:val="en-US"/>
        </w:rPr>
      </w:pPr>
      <w:r w:rsidRPr="00272724">
        <w:rPr>
          <w:rFonts w:ascii="Garamond" w:eastAsia="Times New Roman" w:hAnsi="Garamond"/>
          <w:bCs/>
          <w:sz w:val="18"/>
          <w:szCs w:val="18"/>
          <w:lang w:val="en-US"/>
        </w:rPr>
        <w:tab/>
      </w:r>
    </w:p>
    <w:p w:rsidR="000B2BC5" w:rsidRPr="00272724" w:rsidRDefault="000B2BC5" w:rsidP="000B2BC5">
      <w:pPr>
        <w:spacing w:line="23" w:lineRule="atLeast"/>
        <w:jc w:val="both"/>
        <w:rPr>
          <w:rFonts w:ascii="Garamond" w:hAnsi="Garamond"/>
          <w:bCs/>
          <w:sz w:val="18"/>
          <w:szCs w:val="18"/>
        </w:rPr>
      </w:pPr>
      <w:r w:rsidRPr="00272724">
        <w:rPr>
          <w:rFonts w:ascii="Garamond" w:hAnsi="Garamond"/>
          <w:bCs/>
          <w:sz w:val="18"/>
          <w:szCs w:val="18"/>
        </w:rPr>
        <w:t>NA: Not Available</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0B2BC5" w:rsidRPr="00272724" w:rsidRDefault="000B2BC5" w:rsidP="000B2BC5">
      <w:pPr>
        <w:rPr>
          <w:rFonts w:ascii="Garamond" w:eastAsia="Times New Roman" w:hAnsi="Garamond"/>
          <w:bCs/>
          <w:sz w:val="22"/>
          <w:szCs w:val="22"/>
          <w:lang w:val="en-US"/>
        </w:rPr>
      </w:pPr>
    </w:p>
    <w:p w:rsidR="000B2BC5" w:rsidRPr="00272724" w:rsidRDefault="000B2BC5" w:rsidP="000B2BC5">
      <w:pPr>
        <w:rPr>
          <w:rFonts w:ascii="Garamond" w:eastAsia="Times New Roman" w:hAnsi="Garamond"/>
          <w:bCs/>
          <w:sz w:val="22"/>
          <w:szCs w:val="22"/>
          <w:lang w:val="en-US"/>
        </w:rPr>
      </w:pPr>
      <w:r w:rsidRPr="00272724">
        <w:rPr>
          <w:rFonts w:ascii="Garamond" w:eastAsia="Times New Roman" w:hAnsi="Garamond"/>
          <w:bCs/>
          <w:sz w:val="22"/>
          <w:szCs w:val="22"/>
          <w:lang w:val="en-US"/>
        </w:rPr>
        <w:br w:type="page"/>
      </w:r>
    </w:p>
    <w:p w:rsidR="000B2BC5" w:rsidRPr="00272724" w:rsidRDefault="000B2BC5" w:rsidP="000B2BC5">
      <w:pPr>
        <w:spacing w:line="23" w:lineRule="atLeast"/>
        <w:rPr>
          <w:rFonts w:ascii="Garamond" w:hAnsi="Garamond"/>
          <w:b/>
          <w:bCs/>
          <w:szCs w:val="22"/>
        </w:rPr>
      </w:pPr>
      <w:r w:rsidRPr="00272724">
        <w:rPr>
          <w:rFonts w:ascii="Garamond" w:eastAsia="Times New Roman" w:hAnsi="Garamond"/>
          <w:b/>
          <w:bCs/>
          <w:szCs w:val="22"/>
          <w:lang w:val="en-US"/>
        </w:rPr>
        <w:t>Table A8: Commodity Futures and Options Traded in Major Exchanges</w:t>
      </w:r>
    </w:p>
    <w:p w:rsidR="000B2BC5" w:rsidRPr="00272724" w:rsidRDefault="000B2BC5" w:rsidP="000B2BC5">
      <w:pPr>
        <w:spacing w:line="23" w:lineRule="atLeast"/>
        <w:ind w:right="348"/>
        <w:jc w:val="right"/>
        <w:rPr>
          <w:rFonts w:ascii="Garamond" w:hAnsi="Garamond"/>
          <w:bCs/>
          <w:sz w:val="22"/>
          <w:szCs w:val="22"/>
        </w:rPr>
      </w:pPr>
      <w:r w:rsidRPr="00272724">
        <w:rPr>
          <w:rFonts w:ascii="Garamond" w:hAnsi="Garamond"/>
          <w:bCs/>
          <w:sz w:val="22"/>
          <w:szCs w:val="22"/>
        </w:rPr>
        <w:t>Notional Turnover in (USD million)</w:t>
      </w:r>
    </w:p>
    <w:tbl>
      <w:tblPr>
        <w:tblW w:w="9874" w:type="dxa"/>
        <w:tblLook w:val="04A0" w:firstRow="1" w:lastRow="0" w:firstColumn="1" w:lastColumn="0" w:noHBand="0" w:noVBand="1"/>
      </w:tblPr>
      <w:tblGrid>
        <w:gridCol w:w="3382"/>
        <w:gridCol w:w="1148"/>
        <w:gridCol w:w="1069"/>
        <w:gridCol w:w="1071"/>
        <w:gridCol w:w="1069"/>
        <w:gridCol w:w="1067"/>
        <w:gridCol w:w="1068"/>
      </w:tblGrid>
      <w:tr w:rsidR="000B2BC5" w:rsidRPr="00415B9F" w:rsidTr="00DB0339">
        <w:trPr>
          <w:trHeight w:val="248"/>
        </w:trPr>
        <w:tc>
          <w:tcPr>
            <w:tcW w:w="3382"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Exchange</w:t>
            </w:r>
          </w:p>
        </w:tc>
        <w:tc>
          <w:tcPr>
            <w:tcW w:w="6492" w:type="dxa"/>
            <w:gridSpan w:val="6"/>
            <w:tcBorders>
              <w:top w:val="single" w:sz="4" w:space="0" w:color="auto"/>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Nov-20</w:t>
            </w:r>
          </w:p>
        </w:tc>
      </w:tr>
      <w:tr w:rsidR="000B2BC5" w:rsidRPr="00415B9F" w:rsidTr="00DB0339">
        <w:trPr>
          <w:trHeight w:val="248"/>
        </w:trPr>
        <w:tc>
          <w:tcPr>
            <w:tcW w:w="3382" w:type="dxa"/>
            <w:vMerge/>
            <w:tcBorders>
              <w:top w:val="single" w:sz="4" w:space="0" w:color="auto"/>
              <w:left w:val="single" w:sz="4" w:space="0" w:color="auto"/>
              <w:bottom w:val="single" w:sz="4" w:space="0" w:color="auto"/>
              <w:right w:val="single" w:sz="4" w:space="0" w:color="auto"/>
            </w:tcBorders>
            <w:vAlign w:val="center"/>
            <w:hideMark/>
          </w:tcPr>
          <w:p w:rsidR="000B2BC5" w:rsidRPr="003903D8" w:rsidRDefault="000B2BC5" w:rsidP="00DB0339">
            <w:pPr>
              <w:rPr>
                <w:rFonts w:ascii="Garamond" w:eastAsia="Times New Roman" w:hAnsi="Garamond" w:cs="Calibri"/>
                <w:b/>
                <w:bCs/>
                <w:color w:val="000000"/>
                <w:sz w:val="20"/>
                <w:szCs w:val="20"/>
                <w:lang w:val="en-IN" w:eastAsia="en-IN" w:bidi="hi-IN"/>
              </w:rPr>
            </w:pPr>
          </w:p>
        </w:tc>
        <w:tc>
          <w:tcPr>
            <w:tcW w:w="3288"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Commodities Futures</w:t>
            </w:r>
          </w:p>
        </w:tc>
        <w:tc>
          <w:tcPr>
            <w:tcW w:w="3204" w:type="dxa"/>
            <w:gridSpan w:val="3"/>
            <w:tcBorders>
              <w:top w:val="single" w:sz="4" w:space="0" w:color="auto"/>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Commodities Options</w:t>
            </w:r>
          </w:p>
        </w:tc>
      </w:tr>
      <w:tr w:rsidR="000B2BC5" w:rsidRPr="00415B9F" w:rsidTr="00DB0339">
        <w:trPr>
          <w:trHeight w:val="645"/>
        </w:trPr>
        <w:tc>
          <w:tcPr>
            <w:tcW w:w="3382" w:type="dxa"/>
            <w:vMerge/>
            <w:tcBorders>
              <w:top w:val="single" w:sz="4" w:space="0" w:color="auto"/>
              <w:left w:val="single" w:sz="4" w:space="0" w:color="auto"/>
              <w:bottom w:val="single" w:sz="4" w:space="0" w:color="auto"/>
              <w:right w:val="single" w:sz="4" w:space="0" w:color="auto"/>
            </w:tcBorders>
            <w:vAlign w:val="center"/>
            <w:hideMark/>
          </w:tcPr>
          <w:p w:rsidR="000B2BC5" w:rsidRPr="003903D8" w:rsidRDefault="000B2BC5" w:rsidP="00DB0339">
            <w:pPr>
              <w:rPr>
                <w:rFonts w:ascii="Garamond" w:eastAsia="Times New Roman" w:hAnsi="Garamond" w:cs="Calibri"/>
                <w:b/>
                <w:bCs/>
                <w:color w:val="000000"/>
                <w:sz w:val="20"/>
                <w:szCs w:val="20"/>
                <w:lang w:val="en-IN" w:eastAsia="en-IN" w:bidi="hi-IN"/>
              </w:rPr>
            </w:pPr>
          </w:p>
        </w:tc>
        <w:tc>
          <w:tcPr>
            <w:tcW w:w="1148"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Number of</w:t>
            </w:r>
            <w:r w:rsidRPr="003903D8">
              <w:rPr>
                <w:rFonts w:ascii="Garamond" w:eastAsia="Times New Roman" w:hAnsi="Garamond" w:cs="Calibri"/>
                <w:b/>
                <w:bCs/>
                <w:color w:val="000000"/>
                <w:sz w:val="20"/>
                <w:szCs w:val="20"/>
                <w:lang w:val="en-IN" w:eastAsia="en-IN" w:bidi="hi-IN"/>
              </w:rPr>
              <w:br/>
              <w:t>Contracts Traded</w:t>
            </w:r>
          </w:p>
        </w:tc>
        <w:tc>
          <w:tcPr>
            <w:tcW w:w="1069"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Notional</w:t>
            </w:r>
            <w:r w:rsidRPr="003903D8">
              <w:rPr>
                <w:rFonts w:ascii="Garamond" w:eastAsia="Times New Roman" w:hAnsi="Garamond" w:cs="Calibri"/>
                <w:b/>
                <w:bCs/>
                <w:color w:val="000000"/>
                <w:sz w:val="20"/>
                <w:szCs w:val="20"/>
                <w:lang w:val="en-IN" w:eastAsia="en-IN" w:bidi="hi-IN"/>
              </w:rPr>
              <w:br/>
              <w:t>Turnover</w:t>
            </w:r>
          </w:p>
        </w:tc>
        <w:tc>
          <w:tcPr>
            <w:tcW w:w="1071"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Open</w:t>
            </w:r>
            <w:r w:rsidRPr="003903D8">
              <w:rPr>
                <w:rFonts w:ascii="Garamond" w:eastAsia="Times New Roman" w:hAnsi="Garamond" w:cs="Calibri"/>
                <w:b/>
                <w:bCs/>
                <w:color w:val="000000"/>
                <w:sz w:val="20"/>
                <w:szCs w:val="20"/>
                <w:lang w:val="en-IN" w:eastAsia="en-IN" w:bidi="hi-IN"/>
              </w:rPr>
              <w:br/>
              <w:t>Interest</w:t>
            </w:r>
          </w:p>
        </w:tc>
        <w:tc>
          <w:tcPr>
            <w:tcW w:w="1069"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Number of</w:t>
            </w:r>
            <w:r w:rsidRPr="003903D8">
              <w:rPr>
                <w:rFonts w:ascii="Garamond" w:eastAsia="Times New Roman" w:hAnsi="Garamond" w:cs="Calibri"/>
                <w:b/>
                <w:bCs/>
                <w:color w:val="000000"/>
                <w:sz w:val="20"/>
                <w:szCs w:val="20"/>
                <w:lang w:val="en-IN" w:eastAsia="en-IN" w:bidi="hi-IN"/>
              </w:rPr>
              <w:br/>
              <w:t>Contracts Traded</w:t>
            </w:r>
          </w:p>
        </w:tc>
        <w:tc>
          <w:tcPr>
            <w:tcW w:w="1067"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Notional</w:t>
            </w:r>
            <w:r w:rsidRPr="003903D8">
              <w:rPr>
                <w:rFonts w:ascii="Garamond" w:eastAsia="Times New Roman" w:hAnsi="Garamond" w:cs="Calibri"/>
                <w:b/>
                <w:bCs/>
                <w:color w:val="000000"/>
                <w:sz w:val="20"/>
                <w:szCs w:val="20"/>
                <w:lang w:val="en-IN" w:eastAsia="en-IN" w:bidi="hi-IN"/>
              </w:rPr>
              <w:br/>
              <w:t>Turnover</w:t>
            </w:r>
          </w:p>
        </w:tc>
        <w:tc>
          <w:tcPr>
            <w:tcW w:w="1068" w:type="dxa"/>
            <w:tcBorders>
              <w:top w:val="nil"/>
              <w:left w:val="nil"/>
              <w:bottom w:val="single" w:sz="4" w:space="0" w:color="auto"/>
              <w:right w:val="single" w:sz="4" w:space="0" w:color="auto"/>
            </w:tcBorders>
            <w:shd w:val="clear" w:color="000000" w:fill="B4C6E7"/>
            <w:vAlign w:val="center"/>
            <w:hideMark/>
          </w:tcPr>
          <w:p w:rsidR="000B2BC5" w:rsidRPr="003903D8" w:rsidRDefault="000B2BC5" w:rsidP="00DB0339">
            <w:pPr>
              <w:jc w:val="cente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Open</w:t>
            </w:r>
            <w:r w:rsidRPr="003903D8">
              <w:rPr>
                <w:rFonts w:ascii="Garamond" w:eastAsia="Times New Roman" w:hAnsi="Garamond" w:cs="Calibri"/>
                <w:b/>
                <w:bCs/>
                <w:color w:val="000000"/>
                <w:sz w:val="20"/>
                <w:szCs w:val="20"/>
                <w:lang w:val="en-IN" w:eastAsia="en-IN" w:bidi="hi-IN"/>
              </w:rPr>
              <w:br/>
              <w:t>Interest</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B3 - Brasil Bolsa Balcão</w:t>
            </w:r>
          </w:p>
        </w:tc>
        <w:tc>
          <w:tcPr>
            <w:tcW w:w="1148" w:type="dxa"/>
            <w:tcBorders>
              <w:top w:val="single" w:sz="8" w:space="0" w:color="auto"/>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252,700</w:t>
            </w:r>
          </w:p>
        </w:tc>
        <w:tc>
          <w:tcPr>
            <w:tcW w:w="1069" w:type="dxa"/>
            <w:tcBorders>
              <w:top w:val="single" w:sz="8" w:space="0" w:color="auto"/>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2,656</w:t>
            </w:r>
          </w:p>
        </w:tc>
        <w:tc>
          <w:tcPr>
            <w:tcW w:w="1071" w:type="dxa"/>
            <w:tcBorders>
              <w:top w:val="single" w:sz="8" w:space="0" w:color="auto"/>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81,644</w:t>
            </w:r>
          </w:p>
        </w:tc>
        <w:tc>
          <w:tcPr>
            <w:tcW w:w="1069" w:type="dxa"/>
            <w:tcBorders>
              <w:top w:val="single" w:sz="8" w:space="0" w:color="auto"/>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57,711</w:t>
            </w:r>
          </w:p>
        </w:tc>
        <w:tc>
          <w:tcPr>
            <w:tcW w:w="1067" w:type="dxa"/>
            <w:tcBorders>
              <w:top w:val="single" w:sz="8" w:space="0" w:color="auto"/>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w:t>
            </w:r>
          </w:p>
        </w:tc>
        <w:tc>
          <w:tcPr>
            <w:tcW w:w="1068" w:type="dxa"/>
            <w:tcBorders>
              <w:top w:val="single" w:sz="8" w:space="0" w:color="auto"/>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71,195</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Matba Rofex</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99,248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972</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55,491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12,243</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24,181</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CME Group</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75,226,031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3,956,847</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13,847,107</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12,557,077</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626,632</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9,701,506</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ASX Australian Securities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94,282</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3,492</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162,648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9,338</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1,483</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45,036</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Hong Kong Exchanges and Clearing</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23,916</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709</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2,524</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National Stock Exchange of India</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371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33</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50,917</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356</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3,151</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NZX Limited</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14,003</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59</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44,232</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7,490</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23</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19,520</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Singapore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1,424,458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879,073</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103,292</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624,322</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Taiwan Futures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17,430</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339</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1,688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2,286</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26</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757</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Thailand Futures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936,293</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44,624</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Bursa Malaysia Derivatives</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1,346,714</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25,785</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181,093</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6,450</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0</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17,850</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Zhengzhou Commodity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192,527,720</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1,064,441</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8,727,177</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6,689,786</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453</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1,158,647</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Dalian Commodity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239,972,170</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2,098,420</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9,850,431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8,334,196</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815</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1,498,950</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Multi Commodity Exchange of India</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17,629,680</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99,049</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195,315</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144,866</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3,590</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4,646</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Shanghai Futures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180,879,388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2,352,856</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7,129,588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Borsa Istanbul</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18,130,821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4,515</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1,880,947</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Deutsche Boerse AG</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526,856</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25,883</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1,430,289</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725,630</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2,832</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483,386</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Euronext</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1,524,302</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21,070</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712,929</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111,430</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1,567</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221,339</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LSE Group</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50</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105</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Moscow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59,167,014</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28,261</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2,016,796</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660,299</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295</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127,062</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Dubai Gold and Commodities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13,361</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199</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1,029</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48"/>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London Metal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11,160,575</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1,361,700</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2,112,909</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587,187</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72,553</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408,960</w:t>
            </w:r>
          </w:p>
        </w:tc>
      </w:tr>
      <w:tr w:rsidR="000B2BC5" w:rsidRPr="00415B9F" w:rsidTr="00DB0339">
        <w:trPr>
          <w:trHeight w:val="434"/>
        </w:trPr>
        <w:tc>
          <w:tcPr>
            <w:tcW w:w="3382" w:type="dxa"/>
            <w:tcBorders>
              <w:top w:val="nil"/>
              <w:left w:val="single" w:sz="4" w:space="0" w:color="auto"/>
              <w:bottom w:val="nil"/>
              <w:right w:val="nil"/>
            </w:tcBorders>
            <w:shd w:val="clear" w:color="000000" w:fill="B4C6E7"/>
            <w:vAlign w:val="center"/>
            <w:hideMark/>
          </w:tcPr>
          <w:p w:rsidR="000B2BC5" w:rsidRPr="003903D8" w:rsidRDefault="000B2BC5" w:rsidP="00DB0339">
            <w:pPr>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The Saint-Petersburg International Mercantile Exchange</w:t>
            </w:r>
          </w:p>
        </w:tc>
        <w:tc>
          <w:tcPr>
            <w:tcW w:w="1148" w:type="dxa"/>
            <w:tcBorders>
              <w:top w:val="nil"/>
              <w:left w:val="single" w:sz="8" w:space="0" w:color="auto"/>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3,668</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20,755,725</w:t>
            </w:r>
          </w:p>
        </w:tc>
        <w:tc>
          <w:tcPr>
            <w:tcW w:w="1071"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 xml:space="preserve"> 1,534</w:t>
            </w:r>
          </w:p>
        </w:tc>
        <w:tc>
          <w:tcPr>
            <w:tcW w:w="1069"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7"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c>
          <w:tcPr>
            <w:tcW w:w="1068" w:type="dxa"/>
            <w:tcBorders>
              <w:top w:val="nil"/>
              <w:left w:val="nil"/>
              <w:bottom w:val="nil"/>
              <w:right w:val="single" w:sz="8" w:space="0" w:color="auto"/>
            </w:tcBorders>
            <w:shd w:val="clear" w:color="auto" w:fill="auto"/>
            <w:vAlign w:val="center"/>
            <w:hideMark/>
          </w:tcPr>
          <w:p w:rsidR="000B2BC5" w:rsidRPr="003903D8" w:rsidRDefault="000B2BC5" w:rsidP="00DB0339">
            <w:pPr>
              <w:jc w:val="right"/>
              <w:rPr>
                <w:rFonts w:ascii="Garamond" w:eastAsia="Times New Roman" w:hAnsi="Garamond" w:cs="Calibri"/>
                <w:color w:val="000000"/>
                <w:sz w:val="20"/>
                <w:szCs w:val="20"/>
                <w:lang w:val="en-IN" w:eastAsia="en-IN" w:bidi="hi-IN"/>
              </w:rPr>
            </w:pPr>
            <w:r w:rsidRPr="003903D8">
              <w:rPr>
                <w:rFonts w:ascii="Garamond" w:eastAsia="Times New Roman" w:hAnsi="Garamond" w:cs="Calibri"/>
                <w:color w:val="000000"/>
                <w:sz w:val="20"/>
                <w:szCs w:val="20"/>
                <w:lang w:val="en-IN" w:eastAsia="en-IN" w:bidi="hi-IN"/>
              </w:rPr>
              <w:t>NA</w:t>
            </w:r>
          </w:p>
        </w:tc>
      </w:tr>
      <w:tr w:rsidR="000B2BC5" w:rsidRPr="00415B9F" w:rsidTr="00DB0339">
        <w:trPr>
          <w:trHeight w:val="260"/>
        </w:trPr>
        <w:tc>
          <w:tcPr>
            <w:tcW w:w="3382" w:type="dxa"/>
            <w:tcBorders>
              <w:top w:val="single" w:sz="8" w:space="0" w:color="auto"/>
              <w:left w:val="single" w:sz="8" w:space="0" w:color="auto"/>
              <w:bottom w:val="single" w:sz="8" w:space="0" w:color="auto"/>
              <w:right w:val="nil"/>
            </w:tcBorders>
            <w:shd w:val="clear" w:color="000000" w:fill="D9E1F2"/>
            <w:vAlign w:val="center"/>
            <w:hideMark/>
          </w:tcPr>
          <w:p w:rsidR="000B2BC5" w:rsidRPr="003903D8" w:rsidRDefault="000B2BC5" w:rsidP="00DB0339">
            <w:pPr>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Grand Total</w:t>
            </w:r>
          </w:p>
        </w:tc>
        <w:tc>
          <w:tcPr>
            <w:tcW w:w="1148" w:type="dxa"/>
            <w:tcBorders>
              <w:top w:val="single" w:sz="8" w:space="0" w:color="auto"/>
              <w:left w:val="nil"/>
              <w:bottom w:val="single" w:sz="8" w:space="0" w:color="auto"/>
              <w:right w:val="nil"/>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800,971,051</w:t>
            </w:r>
          </w:p>
        </w:tc>
        <w:tc>
          <w:tcPr>
            <w:tcW w:w="1069" w:type="dxa"/>
            <w:tcBorders>
              <w:top w:val="single" w:sz="8" w:space="0" w:color="auto"/>
              <w:left w:val="nil"/>
              <w:bottom w:val="single" w:sz="8" w:space="0" w:color="auto"/>
              <w:right w:val="nil"/>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31,802,982</w:t>
            </w:r>
          </w:p>
        </w:tc>
        <w:tc>
          <w:tcPr>
            <w:tcW w:w="1071" w:type="dxa"/>
            <w:tcBorders>
              <w:top w:val="single" w:sz="8" w:space="0" w:color="auto"/>
              <w:left w:val="nil"/>
              <w:bottom w:val="single" w:sz="8" w:space="0" w:color="auto"/>
              <w:right w:val="nil"/>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49,359,206</w:t>
            </w:r>
          </w:p>
        </w:tc>
        <w:tc>
          <w:tcPr>
            <w:tcW w:w="1069" w:type="dxa"/>
            <w:tcBorders>
              <w:top w:val="single" w:sz="8" w:space="0" w:color="auto"/>
              <w:left w:val="nil"/>
              <w:bottom w:val="single" w:sz="8" w:space="0" w:color="auto"/>
              <w:right w:val="nil"/>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30,060,198</w:t>
            </w:r>
          </w:p>
        </w:tc>
        <w:tc>
          <w:tcPr>
            <w:tcW w:w="1067" w:type="dxa"/>
            <w:tcBorders>
              <w:top w:val="single" w:sz="8" w:space="0" w:color="auto"/>
              <w:left w:val="nil"/>
              <w:bottom w:val="single" w:sz="8" w:space="0" w:color="auto"/>
              <w:right w:val="nil"/>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710,654</w:t>
            </w:r>
          </w:p>
        </w:tc>
        <w:tc>
          <w:tcPr>
            <w:tcW w:w="1068" w:type="dxa"/>
            <w:tcBorders>
              <w:top w:val="single" w:sz="8" w:space="0" w:color="auto"/>
              <w:left w:val="nil"/>
              <w:bottom w:val="single" w:sz="8" w:space="0" w:color="auto"/>
              <w:right w:val="single" w:sz="8" w:space="0" w:color="auto"/>
            </w:tcBorders>
            <w:shd w:val="clear" w:color="000000" w:fill="D9E1F2"/>
            <w:vAlign w:val="bottom"/>
            <w:hideMark/>
          </w:tcPr>
          <w:p w:rsidR="000B2BC5" w:rsidRPr="003903D8" w:rsidRDefault="000B2BC5" w:rsidP="00DB0339">
            <w:pPr>
              <w:jc w:val="right"/>
              <w:rPr>
                <w:rFonts w:ascii="Garamond" w:eastAsia="Times New Roman" w:hAnsi="Garamond" w:cs="Calibri"/>
                <w:b/>
                <w:bCs/>
                <w:color w:val="000000"/>
                <w:sz w:val="20"/>
                <w:szCs w:val="20"/>
                <w:lang w:val="en-IN" w:eastAsia="en-IN" w:bidi="hi-IN"/>
              </w:rPr>
            </w:pPr>
            <w:r w:rsidRPr="003903D8">
              <w:rPr>
                <w:rFonts w:ascii="Garamond" w:eastAsia="Times New Roman" w:hAnsi="Garamond" w:cs="Calibri"/>
                <w:b/>
                <w:bCs/>
                <w:color w:val="000000"/>
                <w:sz w:val="20"/>
                <w:szCs w:val="20"/>
                <w:lang w:val="en-IN" w:eastAsia="en-IN" w:bidi="hi-IN"/>
              </w:rPr>
              <w:t xml:space="preserve"> 14,410,508</w:t>
            </w:r>
          </w:p>
        </w:tc>
      </w:tr>
    </w:tbl>
    <w:p w:rsidR="000B2BC5" w:rsidRPr="00272724" w:rsidRDefault="000B2BC5" w:rsidP="000B2BC5">
      <w:pPr>
        <w:spacing w:line="23" w:lineRule="atLeast"/>
        <w:rPr>
          <w:rFonts w:ascii="Garamond" w:hAnsi="Garamond"/>
          <w:bCs/>
          <w:sz w:val="18"/>
          <w:szCs w:val="18"/>
        </w:rPr>
      </w:pPr>
      <w:r>
        <w:rPr>
          <w:rFonts w:ascii="Garamond" w:hAnsi="Garamond"/>
          <w:bCs/>
          <w:sz w:val="18"/>
          <w:szCs w:val="18"/>
        </w:rPr>
        <w:t xml:space="preserve"> NA: Not Available</w:t>
      </w:r>
    </w:p>
    <w:p w:rsidR="000B2BC5" w:rsidRPr="00272724" w:rsidRDefault="000B2BC5" w:rsidP="000B2BC5">
      <w:pPr>
        <w:spacing w:line="23" w:lineRule="atLeast"/>
        <w:jc w:val="both"/>
        <w:outlineLvl w:val="0"/>
        <w:rPr>
          <w:rFonts w:ascii="Garamond" w:hAnsi="Garamond"/>
          <w:bCs/>
          <w:sz w:val="18"/>
          <w:szCs w:val="18"/>
        </w:rPr>
      </w:pPr>
      <w:r w:rsidRPr="00272724">
        <w:rPr>
          <w:rFonts w:ascii="Garamond" w:hAnsi="Garamond"/>
          <w:bCs/>
          <w:sz w:val="18"/>
          <w:szCs w:val="18"/>
        </w:rPr>
        <w:t>Source: World Federation of Exchanges</w:t>
      </w:r>
    </w:p>
    <w:p w:rsidR="000B2BC5" w:rsidRDefault="000B2BC5" w:rsidP="000B2BC5">
      <w:pPr>
        <w:rPr>
          <w:rFonts w:ascii="Times New Roman" w:hAnsi="Times New Roman"/>
          <w:bCs/>
          <w:sz w:val="18"/>
          <w:szCs w:val="18"/>
        </w:rPr>
      </w:pPr>
      <w:r>
        <w:rPr>
          <w:rFonts w:ascii="Times New Roman" w:hAnsi="Times New Roman"/>
          <w:bCs/>
          <w:sz w:val="18"/>
          <w:szCs w:val="18"/>
        </w:rPr>
        <w:br w:type="page"/>
      </w:r>
    </w:p>
    <w:p w:rsidR="000B2BC5" w:rsidRPr="00272724" w:rsidRDefault="000B2BC5" w:rsidP="000B2BC5">
      <w:pPr>
        <w:spacing w:line="23" w:lineRule="atLeast"/>
        <w:jc w:val="both"/>
        <w:rPr>
          <w:rFonts w:ascii="Garamond" w:hAnsi="Garamond"/>
          <w:b/>
          <w:bCs/>
          <w:szCs w:val="22"/>
        </w:rPr>
      </w:pPr>
      <w:r w:rsidRPr="00272724">
        <w:rPr>
          <w:rFonts w:ascii="Garamond" w:hAnsi="Garamond"/>
          <w:b/>
          <w:bCs/>
          <w:szCs w:val="22"/>
        </w:rPr>
        <w:t>Table A9: Major Foreign Holders of US Treasury Securities (USD billion)</w:t>
      </w:r>
    </w:p>
    <w:tbl>
      <w:tblPr>
        <w:tblW w:w="10380" w:type="dxa"/>
        <w:tblLook w:val="04A0" w:firstRow="1" w:lastRow="0" w:firstColumn="1" w:lastColumn="0" w:noHBand="0" w:noVBand="1"/>
      </w:tblPr>
      <w:tblGrid>
        <w:gridCol w:w="1536"/>
        <w:gridCol w:w="737"/>
        <w:gridCol w:w="737"/>
        <w:gridCol w:w="737"/>
        <w:gridCol w:w="737"/>
        <w:gridCol w:w="737"/>
        <w:gridCol w:w="737"/>
        <w:gridCol w:w="737"/>
        <w:gridCol w:w="737"/>
        <w:gridCol w:w="737"/>
        <w:gridCol w:w="737"/>
        <w:gridCol w:w="737"/>
        <w:gridCol w:w="737"/>
      </w:tblGrid>
      <w:tr w:rsidR="000B2BC5" w:rsidRPr="00415B9F" w:rsidTr="00DB0339">
        <w:trPr>
          <w:trHeight w:val="281"/>
        </w:trPr>
        <w:tc>
          <w:tcPr>
            <w:tcW w:w="1536"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Country/ Month</w:t>
            </w:r>
          </w:p>
        </w:tc>
        <w:tc>
          <w:tcPr>
            <w:tcW w:w="737" w:type="dxa"/>
            <w:tcBorders>
              <w:top w:val="single" w:sz="8" w:space="0" w:color="auto"/>
              <w:left w:val="single" w:sz="8" w:space="0" w:color="auto"/>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2019</w:t>
            </w:r>
          </w:p>
        </w:tc>
        <w:tc>
          <w:tcPr>
            <w:tcW w:w="737" w:type="dxa"/>
            <w:tcBorders>
              <w:top w:val="single" w:sz="8" w:space="0" w:color="auto"/>
              <w:left w:val="nil"/>
              <w:bottom w:val="single" w:sz="8" w:space="0" w:color="auto"/>
              <w:right w:val="single" w:sz="8" w:space="0" w:color="auto"/>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2020</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nil"/>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single" w:sz="8" w:space="0" w:color="auto"/>
              <w:left w:val="nil"/>
              <w:bottom w:val="single" w:sz="8" w:space="0" w:color="auto"/>
              <w:right w:val="single" w:sz="8" w:space="0" w:color="auto"/>
            </w:tcBorders>
            <w:shd w:val="clear" w:color="000000" w:fill="FFFFFF"/>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r>
      <w:tr w:rsidR="000B2BC5" w:rsidRPr="00415B9F" w:rsidTr="00DB0339">
        <w:trPr>
          <w:trHeight w:val="281"/>
        </w:trPr>
        <w:tc>
          <w:tcPr>
            <w:tcW w:w="1536" w:type="dxa"/>
            <w:vMerge/>
            <w:tcBorders>
              <w:top w:val="single" w:sz="8" w:space="0" w:color="auto"/>
              <w:left w:val="single" w:sz="8" w:space="0" w:color="auto"/>
              <w:bottom w:val="nil"/>
              <w:right w:val="single" w:sz="4" w:space="0" w:color="000000"/>
            </w:tcBorders>
            <w:vAlign w:val="center"/>
            <w:hideMark/>
          </w:tcPr>
          <w:p w:rsidR="000B2BC5" w:rsidRPr="00F04A70" w:rsidRDefault="000B2BC5" w:rsidP="00DB0339">
            <w:pPr>
              <w:rPr>
                <w:rFonts w:ascii="Garamond" w:eastAsia="Times New Roman" w:hAnsi="Garamond" w:cs="Calibri"/>
                <w:b/>
                <w:bCs/>
                <w:color w:val="000000"/>
                <w:sz w:val="20"/>
                <w:szCs w:val="20"/>
                <w:lang w:val="en-IN" w:eastAsia="en-IN" w:bidi="hi-IN"/>
              </w:rPr>
            </w:pP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Dec</w:t>
            </w:r>
          </w:p>
        </w:tc>
        <w:tc>
          <w:tcPr>
            <w:tcW w:w="737" w:type="dxa"/>
            <w:tcBorders>
              <w:top w:val="nil"/>
              <w:left w:val="single" w:sz="8" w:space="0" w:color="auto"/>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Jan</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Feb</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Mar</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Apr</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May</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Jun</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Jul</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Aug</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Sep</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Oct</w:t>
            </w:r>
          </w:p>
        </w:tc>
        <w:tc>
          <w:tcPr>
            <w:tcW w:w="737" w:type="dxa"/>
            <w:tcBorders>
              <w:top w:val="nil"/>
              <w:left w:val="nil"/>
              <w:bottom w:val="nil"/>
              <w:right w:val="single" w:sz="8" w:space="0" w:color="auto"/>
            </w:tcBorders>
            <w:shd w:val="clear" w:color="auto" w:fill="auto"/>
            <w:hideMark/>
          </w:tcPr>
          <w:p w:rsidR="000B2BC5" w:rsidRPr="00F04A70" w:rsidRDefault="000B2BC5" w:rsidP="00DB0339">
            <w:pPr>
              <w:jc w:val="cente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Nov</w:t>
            </w:r>
          </w:p>
        </w:tc>
      </w:tr>
      <w:tr w:rsidR="000B2BC5" w:rsidRPr="00415B9F" w:rsidTr="00DB0339">
        <w:trPr>
          <w:trHeight w:val="267"/>
        </w:trPr>
        <w:tc>
          <w:tcPr>
            <w:tcW w:w="1536" w:type="dxa"/>
            <w:tcBorders>
              <w:top w:val="single" w:sz="8" w:space="0" w:color="auto"/>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Japan</w:t>
            </w:r>
          </w:p>
        </w:tc>
        <w:tc>
          <w:tcPr>
            <w:tcW w:w="737" w:type="dxa"/>
            <w:tcBorders>
              <w:top w:val="single" w:sz="8" w:space="0" w:color="auto"/>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1155.2</w:t>
            </w:r>
          </w:p>
        </w:tc>
        <w:tc>
          <w:tcPr>
            <w:tcW w:w="737" w:type="dxa"/>
            <w:tcBorders>
              <w:top w:val="single" w:sz="8" w:space="0" w:color="auto"/>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1211.8</w:t>
            </w:r>
          </w:p>
        </w:tc>
        <w:tc>
          <w:tcPr>
            <w:tcW w:w="737" w:type="dxa"/>
            <w:tcBorders>
              <w:top w:val="single" w:sz="8" w:space="0" w:color="auto"/>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1268.6</w:t>
            </w:r>
          </w:p>
        </w:tc>
        <w:tc>
          <w:tcPr>
            <w:tcW w:w="737" w:type="dxa"/>
            <w:tcBorders>
              <w:top w:val="single" w:sz="8" w:space="0" w:color="auto"/>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1272.6</w:t>
            </w:r>
          </w:p>
        </w:tc>
        <w:tc>
          <w:tcPr>
            <w:tcW w:w="737" w:type="dxa"/>
            <w:tcBorders>
              <w:top w:val="single" w:sz="8" w:space="0" w:color="auto"/>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1266.5</w:t>
            </w:r>
          </w:p>
        </w:tc>
        <w:tc>
          <w:tcPr>
            <w:tcW w:w="737" w:type="dxa"/>
            <w:tcBorders>
              <w:top w:val="single" w:sz="8" w:space="0" w:color="auto"/>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1260.4</w:t>
            </w:r>
          </w:p>
        </w:tc>
        <w:tc>
          <w:tcPr>
            <w:tcW w:w="737" w:type="dxa"/>
            <w:tcBorders>
              <w:top w:val="single" w:sz="8" w:space="0" w:color="auto"/>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1261.5</w:t>
            </w:r>
          </w:p>
        </w:tc>
        <w:tc>
          <w:tcPr>
            <w:tcW w:w="737" w:type="dxa"/>
            <w:tcBorders>
              <w:top w:val="single" w:sz="8" w:space="0" w:color="auto"/>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1293</w:t>
            </w:r>
          </w:p>
        </w:tc>
        <w:tc>
          <w:tcPr>
            <w:tcW w:w="737" w:type="dxa"/>
            <w:tcBorders>
              <w:top w:val="single" w:sz="8" w:space="0" w:color="auto"/>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1278.4</w:t>
            </w:r>
          </w:p>
        </w:tc>
        <w:tc>
          <w:tcPr>
            <w:tcW w:w="737" w:type="dxa"/>
            <w:tcBorders>
              <w:top w:val="single" w:sz="8" w:space="0" w:color="auto"/>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1276.2</w:t>
            </w:r>
          </w:p>
        </w:tc>
        <w:tc>
          <w:tcPr>
            <w:tcW w:w="737" w:type="dxa"/>
            <w:tcBorders>
              <w:top w:val="single" w:sz="8" w:space="0" w:color="auto"/>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1269.5</w:t>
            </w:r>
          </w:p>
        </w:tc>
        <w:tc>
          <w:tcPr>
            <w:tcW w:w="737" w:type="dxa"/>
            <w:tcBorders>
              <w:top w:val="single" w:sz="8" w:space="0" w:color="auto"/>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1260.8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China, Mainland</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1069.9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1078.6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1092.3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1081.6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1072.8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1083.7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1074.4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1073.4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1068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1061.7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1054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1063</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United Kingdom</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392.1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450.3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477.1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469.7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429.2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445.8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445.6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424.7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428.9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442.8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420.3</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Ireland</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281.9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271.7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282.8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271.6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301.3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324.2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330.3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330.8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335.3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315.8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316.4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314.3</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Luxembourg</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254.6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255.2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260.8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246.1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265.5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262.7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267.6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264.7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268.8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262.5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266.2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267.8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Brazil</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281.8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283.3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285.9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264.4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259.5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264.4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264.1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265.7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265.1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262.9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262.2</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Switzerland</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237.5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238.1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243.7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244.6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241.3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243.1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247.4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250.7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253.1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255.3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255.9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253.6</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Belgium</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207.4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206.5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206.1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210.2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212.1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218.7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211.9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218.1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239.6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240.5</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Hong Kong</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249.7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268.4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259.4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266.4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267.1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250.9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245.5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229.2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226.5</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Cayman Islands</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238.2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225.1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228.2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209.4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213.1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216.7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222.3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228.9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231.6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221.5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222.9</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Taiwan</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193.1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199.2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201.9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201.7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199.2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204.6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209.7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213.5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218.2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222.3</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India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162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164.3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177.5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156.5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157.4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169.9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182.7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194.6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196.5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213.5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222.4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220.2</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Singapore</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147.9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160.7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165.4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151.5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146.1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142.1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150.5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158.6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160.3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162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163.8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Saudi Arabia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179.8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182.9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184.4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159.1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125.3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123.5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124.9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124.6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130</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131.2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134.2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137.6</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France</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147.6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137.7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130.5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144.2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130.3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133.6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135.4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137.2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132.7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Canada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143.3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157.9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148.3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131.5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136.3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129.9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133.9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131.3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127.4</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Korea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121.9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121.1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116.1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110.8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120</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117.3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122.7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123.1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122.7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123.2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119.1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122.8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Norway</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90.1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97.7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103.3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93.2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87.6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89.5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90.6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91.4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91.3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83.6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89.8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Thailand</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90.5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91.3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81.8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80.5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85.8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85.5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87.9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85.7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83.2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82</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Germany</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78.3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83.7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77.3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77.7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80.6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79.5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78.3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78.9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74.8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74.3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73.1</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Bermuda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71.3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64.8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65.9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64.2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65.5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63.9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66.8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66.6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73.6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71.5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72.5</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Netherlands</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65.1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67.7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66.2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67.9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71.2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68.5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71.7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Israel</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48.4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51.5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53.3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Mexico</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49.5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49.2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48.8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52.7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Philippines</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34.8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48.6</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Poland</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35.6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34.4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47.5</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Kuwait</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46.1</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Italy</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44.6</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41.4</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41.3</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Australia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40.2</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Sweden</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48.7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45.4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36.5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United Arab Emirates</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40.7</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27.9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36.6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36.8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Spain</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50.4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46.2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43.8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47.3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35.2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33.7</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Vietnam</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30.3</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32.6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31.9</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Colombia</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29.8</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31.9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All Other</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510.8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533.8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543.9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503.1</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517.6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523.5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522.1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536.4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521.3</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521.4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512.4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501.2</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Grand Total</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6844.2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7027.3</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7226.2</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6949.5</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6903.4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6978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7046.6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7097</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7083.2</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7071</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7068.4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7053.6</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b/>
                <w:bCs/>
                <w:color w:val="000000"/>
                <w:sz w:val="20"/>
                <w:szCs w:val="20"/>
                <w:lang w:val="en-IN" w:eastAsia="en-IN" w:bidi="hi-IN"/>
              </w:rPr>
            </w:pPr>
            <w:r w:rsidRPr="00F04A70">
              <w:rPr>
                <w:rFonts w:ascii="Garamond" w:eastAsia="Times New Roman" w:hAnsi="Garamond" w:cs="Calibri"/>
                <w:b/>
                <w:bCs/>
                <w:color w:val="000000"/>
                <w:sz w:val="20"/>
                <w:szCs w:val="20"/>
                <w:lang w:val="en-IN" w:eastAsia="en-IN" w:bidi="hi-IN"/>
              </w:rPr>
              <w:t> </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Of which:</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 </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For. Official</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4076.9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4169.9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4264.9</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4117.9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4047.4</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4105.9</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4148</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4191.9</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4200</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4199.5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4167.5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4174.8</w:t>
            </w:r>
          </w:p>
        </w:tc>
      </w:tr>
      <w:tr w:rsidR="000B2BC5" w:rsidRPr="00415B9F" w:rsidTr="00DB0339">
        <w:trPr>
          <w:trHeight w:val="267"/>
        </w:trPr>
        <w:tc>
          <w:tcPr>
            <w:tcW w:w="1536" w:type="dxa"/>
            <w:tcBorders>
              <w:top w:val="nil"/>
              <w:left w:val="single" w:sz="8" w:space="0" w:color="auto"/>
              <w:bottom w:val="nil"/>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Treasury Bills</w:t>
            </w:r>
          </w:p>
        </w:tc>
        <w:tc>
          <w:tcPr>
            <w:tcW w:w="737" w:type="dxa"/>
            <w:tcBorders>
              <w:top w:val="nil"/>
              <w:left w:val="single" w:sz="8" w:space="0" w:color="auto"/>
              <w:bottom w:val="nil"/>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268.6</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294.8</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306.1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283.2</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331</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355.7</w:t>
            </w:r>
          </w:p>
        </w:tc>
        <w:tc>
          <w:tcPr>
            <w:tcW w:w="737" w:type="dxa"/>
            <w:tcBorders>
              <w:top w:val="nil"/>
              <w:left w:val="nil"/>
              <w:bottom w:val="nil"/>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382.5</w:t>
            </w:r>
          </w:p>
        </w:tc>
        <w:tc>
          <w:tcPr>
            <w:tcW w:w="737" w:type="dxa"/>
            <w:tcBorders>
              <w:top w:val="nil"/>
              <w:left w:val="single" w:sz="8" w:space="0" w:color="auto"/>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393.6</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371.5</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375.4</w:t>
            </w:r>
          </w:p>
        </w:tc>
        <w:tc>
          <w:tcPr>
            <w:tcW w:w="737" w:type="dxa"/>
            <w:tcBorders>
              <w:top w:val="nil"/>
              <w:left w:val="nil"/>
              <w:bottom w:val="nil"/>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368.6</w:t>
            </w:r>
          </w:p>
        </w:tc>
      </w:tr>
      <w:tr w:rsidR="000B2BC5" w:rsidRPr="00415B9F" w:rsidTr="00DB0339">
        <w:trPr>
          <w:trHeight w:val="281"/>
        </w:trPr>
        <w:tc>
          <w:tcPr>
            <w:tcW w:w="1536" w:type="dxa"/>
            <w:tcBorders>
              <w:top w:val="nil"/>
              <w:left w:val="single" w:sz="8" w:space="0" w:color="auto"/>
              <w:bottom w:val="single" w:sz="8" w:space="0" w:color="auto"/>
              <w:right w:val="nil"/>
            </w:tcBorders>
            <w:shd w:val="clear" w:color="auto" w:fill="auto"/>
            <w:noWrap/>
            <w:vAlign w:val="center"/>
            <w:hideMark/>
          </w:tcPr>
          <w:p w:rsidR="000B2BC5" w:rsidRPr="00F04A70" w:rsidRDefault="000B2BC5" w:rsidP="00DB0339">
            <w:pPr>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T-Bonds &amp; Notes</w:t>
            </w:r>
          </w:p>
        </w:tc>
        <w:tc>
          <w:tcPr>
            <w:tcW w:w="737" w:type="dxa"/>
            <w:tcBorders>
              <w:top w:val="nil"/>
              <w:left w:val="single" w:sz="8" w:space="0" w:color="auto"/>
              <w:bottom w:val="single" w:sz="8" w:space="0" w:color="auto"/>
              <w:right w:val="nil"/>
            </w:tcBorders>
            <w:shd w:val="clear" w:color="auto" w:fill="auto"/>
            <w:noWrap/>
            <w:vAlign w:val="center"/>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3808.3</w:t>
            </w:r>
          </w:p>
        </w:tc>
        <w:tc>
          <w:tcPr>
            <w:tcW w:w="737" w:type="dxa"/>
            <w:tcBorders>
              <w:top w:val="nil"/>
              <w:left w:val="single" w:sz="8" w:space="0" w:color="auto"/>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3875.1</w:t>
            </w:r>
          </w:p>
        </w:tc>
        <w:tc>
          <w:tcPr>
            <w:tcW w:w="737" w:type="dxa"/>
            <w:tcBorders>
              <w:top w:val="nil"/>
              <w:left w:val="nil"/>
              <w:bottom w:val="single" w:sz="8" w:space="0" w:color="auto"/>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3958.8</w:t>
            </w:r>
          </w:p>
        </w:tc>
        <w:tc>
          <w:tcPr>
            <w:tcW w:w="737" w:type="dxa"/>
            <w:tcBorders>
              <w:top w:val="nil"/>
              <w:left w:val="single" w:sz="8" w:space="0" w:color="auto"/>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3834.6</w:t>
            </w:r>
          </w:p>
        </w:tc>
        <w:tc>
          <w:tcPr>
            <w:tcW w:w="737" w:type="dxa"/>
            <w:tcBorders>
              <w:top w:val="nil"/>
              <w:left w:val="nil"/>
              <w:bottom w:val="single" w:sz="8" w:space="0" w:color="auto"/>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3716.4</w:t>
            </w:r>
          </w:p>
        </w:tc>
        <w:tc>
          <w:tcPr>
            <w:tcW w:w="737" w:type="dxa"/>
            <w:tcBorders>
              <w:top w:val="nil"/>
              <w:left w:val="single" w:sz="8" w:space="0" w:color="auto"/>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3750.2</w:t>
            </w:r>
          </w:p>
        </w:tc>
        <w:tc>
          <w:tcPr>
            <w:tcW w:w="737" w:type="dxa"/>
            <w:tcBorders>
              <w:top w:val="nil"/>
              <w:left w:val="nil"/>
              <w:bottom w:val="single" w:sz="8" w:space="0" w:color="auto"/>
              <w:right w:val="nil"/>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3765.5</w:t>
            </w:r>
          </w:p>
        </w:tc>
        <w:tc>
          <w:tcPr>
            <w:tcW w:w="737" w:type="dxa"/>
            <w:tcBorders>
              <w:top w:val="nil"/>
              <w:left w:val="single" w:sz="8" w:space="0" w:color="auto"/>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3798.4</w:t>
            </w:r>
          </w:p>
        </w:tc>
        <w:tc>
          <w:tcPr>
            <w:tcW w:w="737" w:type="dxa"/>
            <w:tcBorders>
              <w:top w:val="nil"/>
              <w:left w:val="nil"/>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3815</w:t>
            </w:r>
          </w:p>
        </w:tc>
        <w:tc>
          <w:tcPr>
            <w:tcW w:w="737" w:type="dxa"/>
            <w:tcBorders>
              <w:top w:val="nil"/>
              <w:left w:val="nil"/>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3828.1</w:t>
            </w:r>
          </w:p>
        </w:tc>
        <w:tc>
          <w:tcPr>
            <w:tcW w:w="737" w:type="dxa"/>
            <w:tcBorders>
              <w:top w:val="nil"/>
              <w:left w:val="nil"/>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3792</w:t>
            </w:r>
          </w:p>
        </w:tc>
        <w:tc>
          <w:tcPr>
            <w:tcW w:w="737" w:type="dxa"/>
            <w:tcBorders>
              <w:top w:val="nil"/>
              <w:left w:val="nil"/>
              <w:bottom w:val="single" w:sz="8" w:space="0" w:color="auto"/>
              <w:right w:val="single" w:sz="8" w:space="0" w:color="auto"/>
            </w:tcBorders>
            <w:shd w:val="clear" w:color="auto" w:fill="auto"/>
            <w:noWrap/>
            <w:vAlign w:val="bottom"/>
            <w:hideMark/>
          </w:tcPr>
          <w:p w:rsidR="000B2BC5" w:rsidRPr="00F04A70" w:rsidRDefault="000B2BC5" w:rsidP="00DB0339">
            <w:pPr>
              <w:jc w:val="right"/>
              <w:rPr>
                <w:rFonts w:ascii="Garamond" w:eastAsia="Times New Roman" w:hAnsi="Garamond" w:cs="Calibri"/>
                <w:color w:val="000000"/>
                <w:sz w:val="20"/>
                <w:szCs w:val="20"/>
                <w:lang w:val="en-IN" w:eastAsia="en-IN" w:bidi="hi-IN"/>
              </w:rPr>
            </w:pPr>
            <w:r w:rsidRPr="00F04A70">
              <w:rPr>
                <w:rFonts w:ascii="Garamond" w:eastAsia="Times New Roman" w:hAnsi="Garamond" w:cs="Calibri"/>
                <w:color w:val="000000"/>
                <w:sz w:val="20"/>
                <w:szCs w:val="20"/>
                <w:lang w:val="en-IN" w:eastAsia="en-IN" w:bidi="hi-IN"/>
              </w:rPr>
              <w:t>3806.1</w:t>
            </w:r>
          </w:p>
        </w:tc>
      </w:tr>
    </w:tbl>
    <w:p w:rsidR="000B2BC5" w:rsidRPr="00272724" w:rsidRDefault="000B2BC5" w:rsidP="000B2BC5">
      <w:pPr>
        <w:spacing w:line="23" w:lineRule="atLeast"/>
        <w:rPr>
          <w:rFonts w:ascii="Garamond" w:hAnsi="Garamond"/>
          <w:bCs/>
          <w:sz w:val="18"/>
          <w:szCs w:val="18"/>
        </w:rPr>
      </w:pPr>
      <w:r w:rsidRPr="00272724">
        <w:rPr>
          <w:rFonts w:ascii="Garamond" w:hAnsi="Garamond"/>
          <w:bCs/>
          <w:sz w:val="18"/>
          <w:szCs w:val="18"/>
        </w:rPr>
        <w:t xml:space="preserve"> Note: </w:t>
      </w:r>
    </w:p>
    <w:p w:rsidR="000B2BC5" w:rsidRPr="00272724" w:rsidRDefault="000B2BC5" w:rsidP="000B2BC5">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 xml:space="preserve">Data available as on </w:t>
      </w:r>
      <w:r>
        <w:rPr>
          <w:rFonts w:ascii="Garamond" w:hAnsi="Garamond"/>
          <w:bCs/>
          <w:sz w:val="18"/>
          <w:szCs w:val="18"/>
          <w:lang w:val="en-US"/>
        </w:rPr>
        <w:t>20 January 2021</w:t>
      </w:r>
    </w:p>
    <w:p w:rsidR="000B2BC5" w:rsidRPr="00272724" w:rsidRDefault="000B2BC5" w:rsidP="000B2BC5">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0B2BC5" w:rsidRPr="00272724" w:rsidRDefault="000B2BC5" w:rsidP="000B2BC5">
      <w:pPr>
        <w:numPr>
          <w:ilvl w:val="0"/>
          <w:numId w:val="14"/>
        </w:numPr>
        <w:spacing w:line="23" w:lineRule="atLeast"/>
        <w:ind w:left="360"/>
        <w:contextualSpacing/>
        <w:jc w:val="both"/>
        <w:rPr>
          <w:rFonts w:ascii="Garamond" w:hAnsi="Garamond"/>
          <w:bCs/>
          <w:sz w:val="18"/>
          <w:szCs w:val="18"/>
          <w:lang w:val="en-US"/>
        </w:rPr>
      </w:pPr>
      <w:r w:rsidRPr="00272724">
        <w:rPr>
          <w:rFonts w:ascii="Garamond"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0B2BC5" w:rsidRPr="002A4773" w:rsidRDefault="000B2BC5" w:rsidP="000B2BC5">
      <w:pPr>
        <w:spacing w:line="23" w:lineRule="atLeast"/>
        <w:rPr>
          <w:rFonts w:ascii="Times New Roman" w:hAnsi="Times New Roman"/>
          <w:bCs/>
          <w:sz w:val="18"/>
          <w:szCs w:val="18"/>
        </w:rPr>
      </w:pPr>
      <w:r w:rsidRPr="00272724">
        <w:rPr>
          <w:rFonts w:ascii="Garamond" w:hAnsi="Garamond"/>
          <w:bCs/>
          <w:sz w:val="18"/>
          <w:szCs w:val="18"/>
        </w:rPr>
        <w:t>Source: Department of the Treasury/Federal Reserve Board</w:t>
      </w:r>
    </w:p>
    <w:p w:rsidR="000F236F" w:rsidRDefault="000F236F" w:rsidP="000F236F">
      <w:pPr>
        <w:spacing w:line="23" w:lineRule="atLeast"/>
        <w:rPr>
          <w:rFonts w:ascii="Times New Roman" w:hAnsi="Times New Roman"/>
          <w:bCs/>
          <w:sz w:val="18"/>
          <w:szCs w:val="18"/>
        </w:rPr>
      </w:pPr>
    </w:p>
    <w:p w:rsidR="000F236F" w:rsidRDefault="000F236F" w:rsidP="000F236F">
      <w:pPr>
        <w:spacing w:line="23" w:lineRule="atLeast"/>
        <w:jc w:val="both"/>
        <w:rPr>
          <w:rFonts w:ascii="Calibri" w:hAnsi="Calibri" w:cs="Calibri"/>
          <w:bCs/>
          <w:strike/>
          <w:sz w:val="18"/>
          <w:szCs w:val="18"/>
        </w:rPr>
      </w:pPr>
    </w:p>
    <w:p w:rsidR="000F236F" w:rsidRDefault="000F236F" w:rsidP="000F236F">
      <w:pPr>
        <w:tabs>
          <w:tab w:val="left" w:pos="8160"/>
        </w:tabs>
        <w:jc w:val="both"/>
        <w:rPr>
          <w:rFonts w:ascii="Palatino Linotype" w:hAnsi="Palatino Linotype"/>
          <w:b/>
          <w:color w:val="1F3864"/>
          <w:sz w:val="40"/>
          <w:szCs w:val="40"/>
        </w:rPr>
      </w:pP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r>
        <w:rPr>
          <w:rFonts w:ascii="Palatino Linotype" w:hAnsi="Palatino Linotype"/>
          <w:b/>
          <w:bCs/>
          <w:sz w:val="22"/>
          <w:szCs w:val="22"/>
          <w:lang w:val="en-US" w:bidi="hi-IN"/>
        </w:rPr>
        <w:t xml:space="preserve">1) </w:t>
      </w:r>
      <w:r w:rsidR="00932FDF" w:rsidRPr="00932FDF">
        <w:rPr>
          <w:rFonts w:ascii="Palatino Linotype" w:hAnsi="Palatino Linotype"/>
          <w:b/>
          <w:bCs/>
          <w:sz w:val="22"/>
          <w:szCs w:val="22"/>
          <w:lang w:val="en-US" w:bidi="hi-IN"/>
        </w:rPr>
        <w:t>SEC Modernizes Framework for Fund Valuation Practices</w:t>
      </w:r>
    </w:p>
    <w:p w:rsidR="00272724" w:rsidRDefault="00272724" w:rsidP="00272724">
      <w:pPr>
        <w:shd w:val="clear" w:color="auto" w:fill="FFFFFF"/>
        <w:spacing w:line="276" w:lineRule="auto"/>
        <w:jc w:val="both"/>
        <w:textAlignment w:val="baseline"/>
        <w:rPr>
          <w:rFonts w:ascii="Palatino Linotype" w:hAnsi="Palatino Linotype"/>
          <w:b/>
          <w:bCs/>
          <w:sz w:val="22"/>
          <w:szCs w:val="22"/>
          <w:lang w:val="en-US" w:bidi="hi-IN"/>
        </w:rPr>
      </w:pPr>
    </w:p>
    <w:p w:rsidR="009070E0" w:rsidRDefault="00932FDF" w:rsidP="00272724">
      <w:pPr>
        <w:shd w:val="clear" w:color="auto" w:fill="FFFFFF"/>
        <w:spacing w:line="276" w:lineRule="auto"/>
        <w:jc w:val="both"/>
        <w:textAlignment w:val="baseline"/>
        <w:rPr>
          <w:rFonts w:ascii="Palatino Linotype" w:hAnsi="Palatino Linotype"/>
          <w:sz w:val="22"/>
          <w:szCs w:val="22"/>
          <w:lang w:val="en-US" w:bidi="hi-IN"/>
        </w:rPr>
      </w:pPr>
      <w:r w:rsidRPr="00932FDF">
        <w:rPr>
          <w:rFonts w:ascii="Palatino Linotype" w:hAnsi="Palatino Linotype"/>
          <w:sz w:val="22"/>
          <w:szCs w:val="22"/>
          <w:lang w:val="en-US" w:bidi="hi-IN"/>
        </w:rPr>
        <w:t>The Securities and Exchange Commission announced that it voted to adopt a new rule that establishes an updated regulatory framework for fund valuation practices.  The rule is designed to clarify how fund boards of directors can satisfy their valuation obligations in light of market developments, including an increase in the variety of asset classes held by funds and an increase in both the volume and type of data used in valuation determinations.</w:t>
      </w:r>
    </w:p>
    <w:p w:rsidR="00932FDF" w:rsidRDefault="00932FDF" w:rsidP="00272724">
      <w:pPr>
        <w:shd w:val="clear" w:color="auto" w:fill="FFFFFF"/>
        <w:spacing w:line="276" w:lineRule="auto"/>
        <w:jc w:val="both"/>
        <w:textAlignment w:val="baseline"/>
        <w:rPr>
          <w:rFonts w:ascii="Palatino Linotype" w:eastAsia="Times New Roman" w:hAnsi="Palatino Linotype"/>
          <w:sz w:val="22"/>
          <w:szCs w:val="22"/>
          <w:bdr w:val="none" w:sz="0" w:space="0" w:color="auto" w:frame="1"/>
          <w:lang w:val="en-US" w:bidi="hi-IN"/>
        </w:rPr>
      </w:pPr>
    </w:p>
    <w:p w:rsidR="00272724" w:rsidRDefault="00272724" w:rsidP="00272724">
      <w:pPr>
        <w:jc w:val="both"/>
        <w:rPr>
          <w:rFonts w:ascii="Palatino Linotype" w:hAnsi="Palatino Linotype" w:cs="Calibri"/>
          <w:bCs/>
        </w:rPr>
      </w:pPr>
      <w:r>
        <w:rPr>
          <w:rFonts w:ascii="Palatino Linotype" w:hAnsi="Palatino Linotype" w:cs="Calibri"/>
          <w:bCs/>
        </w:rPr>
        <w:t>Source:  https://www.sec.gov/news/press-release/2020-</w:t>
      </w:r>
      <w:r w:rsidR="00932FDF">
        <w:rPr>
          <w:rFonts w:ascii="Palatino Linotype" w:hAnsi="Palatino Linotype" w:cs="Calibri"/>
          <w:bCs/>
        </w:rPr>
        <w:t>302</w:t>
      </w:r>
    </w:p>
    <w:p w:rsidR="00272724" w:rsidRDefault="00272724" w:rsidP="00272724">
      <w:pPr>
        <w:spacing w:line="276" w:lineRule="auto"/>
        <w:jc w:val="both"/>
        <w:rPr>
          <w:rFonts w:ascii="Palatino Linotype" w:hAnsi="Palatino Linotype"/>
          <w:i/>
          <w:iCs/>
          <w:lang w:val="en-US" w:bidi="hi-IN"/>
        </w:rPr>
      </w:pPr>
    </w:p>
    <w:p w:rsidR="00272724" w:rsidRDefault="00272724" w:rsidP="00272724">
      <w:pPr>
        <w:tabs>
          <w:tab w:val="left" w:pos="8160"/>
        </w:tabs>
        <w:jc w:val="both"/>
        <w:rPr>
          <w:rFonts w:ascii="Palatino Linotype" w:hAnsi="Palatino Linotype"/>
          <w:b/>
        </w:rPr>
      </w:pPr>
    </w:p>
    <w:p w:rsidR="00272724" w:rsidRDefault="00272724" w:rsidP="00272724">
      <w:pPr>
        <w:tabs>
          <w:tab w:val="left" w:pos="8160"/>
        </w:tabs>
        <w:jc w:val="both"/>
        <w:rPr>
          <w:rFonts w:ascii="Palatino Linotype" w:hAnsi="Palatino Linotype"/>
          <w:b/>
        </w:rPr>
      </w:pPr>
      <w:r>
        <w:rPr>
          <w:rFonts w:ascii="Palatino Linotype" w:hAnsi="Palatino Linotype"/>
          <w:b/>
        </w:rPr>
        <w:t xml:space="preserve">2) </w:t>
      </w:r>
      <w:r w:rsidR="00932FDF" w:rsidRPr="00932FDF">
        <w:rPr>
          <w:rFonts w:ascii="Palatino Linotype" w:hAnsi="Palatino Linotype"/>
          <w:b/>
        </w:rPr>
        <w:t>SEC Adopts Rules to Modernize Key Market Infrastructure Responsible for Collecting, Consolidating, and Disseminating Equity Market Data</w:t>
      </w:r>
    </w:p>
    <w:p w:rsidR="00272724" w:rsidRDefault="00272724" w:rsidP="00272724">
      <w:pPr>
        <w:tabs>
          <w:tab w:val="left" w:pos="8160"/>
        </w:tabs>
        <w:jc w:val="both"/>
        <w:rPr>
          <w:rFonts w:ascii="Palatino Linotype" w:hAnsi="Palatino Linotype"/>
          <w:b/>
        </w:rPr>
      </w:pPr>
    </w:p>
    <w:p w:rsidR="009070E0" w:rsidRPr="00932FDF" w:rsidRDefault="00932FDF" w:rsidP="00932FDF">
      <w:pPr>
        <w:tabs>
          <w:tab w:val="left" w:pos="8160"/>
        </w:tabs>
        <w:jc w:val="both"/>
        <w:rPr>
          <w:rFonts w:ascii="Palatino Linotype" w:eastAsia="Calibri" w:hAnsi="Palatino Linotype" w:cs="Arial"/>
          <w:bCs/>
          <w:color w:val="000000"/>
          <w:sz w:val="22"/>
          <w:szCs w:val="22"/>
          <w:lang w:val="en-US"/>
        </w:rPr>
      </w:pPr>
      <w:r w:rsidRPr="00932FDF">
        <w:rPr>
          <w:rFonts w:ascii="Palatino Linotype" w:eastAsia="Calibri" w:hAnsi="Palatino Linotype" w:cs="Arial"/>
          <w:bCs/>
          <w:color w:val="000000"/>
          <w:sz w:val="22"/>
          <w:szCs w:val="22"/>
          <w:lang w:val="en-US"/>
        </w:rPr>
        <w:t>The Securities and Exchange Commission adopted rules to modernize the infrastructure for the collection, consolidation, and dissemination of market data for exchange-listed national market system stocks (“NMS market data”).  This infrastructure has not been significantly updated since its initial implementation in the late 1970s.  The adopted rules update and significantly expand the content of NMS market data to better meet the diverse needs of investors in today’s equity markets.  The adopted rules also update the method by which NMS market data is consolidated and disseminated, by fostering a competitive environment and providing for a new decentralized model that promises reduced latency and other new efficiencies.</w:t>
      </w:r>
    </w:p>
    <w:p w:rsidR="00932FDF" w:rsidRDefault="00932FDF" w:rsidP="00272724">
      <w:pPr>
        <w:jc w:val="both"/>
        <w:rPr>
          <w:rFonts w:ascii="Palatino Linotype" w:hAnsi="Palatino Linotype" w:cs="Calibri"/>
          <w:bCs/>
        </w:rPr>
      </w:pPr>
    </w:p>
    <w:p w:rsidR="00272724" w:rsidRDefault="009070E0" w:rsidP="00272724">
      <w:pPr>
        <w:jc w:val="both"/>
        <w:rPr>
          <w:rFonts w:ascii="Palatino Linotype" w:hAnsi="Palatino Linotype" w:cs="Calibri"/>
          <w:b/>
        </w:rPr>
      </w:pPr>
      <w:r w:rsidRPr="009070E0">
        <w:rPr>
          <w:rFonts w:ascii="Palatino Linotype" w:hAnsi="Palatino Linotype" w:cs="Calibri"/>
          <w:bCs/>
        </w:rPr>
        <w:t>Source:  https://www.sec.gov/news/press-release/2020-</w:t>
      </w:r>
      <w:r w:rsidR="00932FDF">
        <w:rPr>
          <w:rFonts w:ascii="Palatino Linotype" w:hAnsi="Palatino Linotype" w:cs="Calibri"/>
          <w:bCs/>
        </w:rPr>
        <w:t>311</w:t>
      </w:r>
    </w:p>
    <w:p w:rsidR="00272724" w:rsidRDefault="00272724" w:rsidP="00272724">
      <w:pPr>
        <w:rPr>
          <w:rFonts w:ascii="Palatino Linotype" w:hAnsi="Palatino Linotype"/>
          <w:b/>
          <w:sz w:val="22"/>
          <w:szCs w:val="22"/>
        </w:rPr>
      </w:pPr>
    </w:p>
    <w:p w:rsidR="00272724" w:rsidRDefault="00272724" w:rsidP="009070E0">
      <w:pPr>
        <w:rPr>
          <w:rFonts w:ascii="Palatino Linotype" w:hAnsi="Palatino Linotype"/>
          <w:b/>
          <w:sz w:val="22"/>
          <w:szCs w:val="22"/>
        </w:rPr>
      </w:pPr>
      <w:r>
        <w:rPr>
          <w:rFonts w:ascii="Palatino Linotype" w:hAnsi="Palatino Linotype"/>
          <w:b/>
          <w:sz w:val="22"/>
          <w:szCs w:val="22"/>
        </w:rPr>
        <w:t xml:space="preserve">3) </w:t>
      </w:r>
      <w:r w:rsidR="00932FDF" w:rsidRPr="00932FDF">
        <w:rPr>
          <w:rFonts w:ascii="Palatino Linotype" w:hAnsi="Palatino Linotype"/>
          <w:b/>
          <w:sz w:val="22"/>
          <w:szCs w:val="22"/>
        </w:rPr>
        <w:t>IOSCO consults on issues and concerns regarding market data</w:t>
      </w:r>
    </w:p>
    <w:p w:rsidR="00272724" w:rsidRDefault="00272724" w:rsidP="00272724">
      <w:pPr>
        <w:rPr>
          <w:rFonts w:ascii="Palatino Linotype" w:hAnsi="Palatino Linotype"/>
          <w:b/>
          <w:sz w:val="22"/>
          <w:szCs w:val="22"/>
        </w:rPr>
      </w:pPr>
    </w:p>
    <w:p w:rsidR="00932FDF" w:rsidRDefault="00932FDF" w:rsidP="00932FDF">
      <w:pPr>
        <w:jc w:val="both"/>
        <w:rPr>
          <w:rFonts w:ascii="Palatino Linotype" w:hAnsi="Palatino Linotype"/>
          <w:bCs/>
          <w:sz w:val="22"/>
          <w:szCs w:val="22"/>
        </w:rPr>
      </w:pPr>
      <w:r w:rsidRPr="00932FDF">
        <w:rPr>
          <w:rFonts w:ascii="Palatino Linotype" w:hAnsi="Palatino Linotype"/>
          <w:bCs/>
          <w:sz w:val="22"/>
          <w:szCs w:val="22"/>
        </w:rPr>
        <w:t>The Board of the International Organization of Securities Commissions (IOSCO) is seeking</w:t>
      </w:r>
      <w:r>
        <w:rPr>
          <w:rFonts w:ascii="Palatino Linotype" w:hAnsi="Palatino Linotype"/>
          <w:bCs/>
          <w:sz w:val="22"/>
          <w:szCs w:val="22"/>
        </w:rPr>
        <w:t xml:space="preserve"> </w:t>
      </w:r>
      <w:r w:rsidRPr="00932FDF">
        <w:rPr>
          <w:rFonts w:ascii="Palatino Linotype" w:hAnsi="Palatino Linotype"/>
          <w:bCs/>
          <w:sz w:val="22"/>
          <w:szCs w:val="22"/>
        </w:rPr>
        <w:t>feedback on a consultation report on issues relating to access to market data in secondary equity</w:t>
      </w:r>
      <w:r>
        <w:rPr>
          <w:rFonts w:ascii="Palatino Linotype" w:hAnsi="Palatino Linotype"/>
          <w:bCs/>
          <w:sz w:val="22"/>
          <w:szCs w:val="22"/>
        </w:rPr>
        <w:t xml:space="preserve"> </w:t>
      </w:r>
      <w:r w:rsidRPr="00932FDF">
        <w:rPr>
          <w:rFonts w:ascii="Palatino Linotype" w:hAnsi="Palatino Linotype"/>
          <w:bCs/>
          <w:sz w:val="22"/>
          <w:szCs w:val="22"/>
        </w:rPr>
        <w:t>markets.</w:t>
      </w:r>
    </w:p>
    <w:p w:rsidR="00932FDF" w:rsidRPr="00932FDF" w:rsidRDefault="00932FDF" w:rsidP="00932FDF">
      <w:pPr>
        <w:jc w:val="both"/>
        <w:rPr>
          <w:rFonts w:ascii="Palatino Linotype" w:hAnsi="Palatino Linotype"/>
          <w:bCs/>
          <w:sz w:val="22"/>
          <w:szCs w:val="22"/>
        </w:rPr>
      </w:pPr>
    </w:p>
    <w:p w:rsidR="00932FDF" w:rsidRDefault="00932FDF" w:rsidP="00932FDF">
      <w:pPr>
        <w:jc w:val="both"/>
        <w:rPr>
          <w:rFonts w:ascii="Palatino Linotype" w:hAnsi="Palatino Linotype"/>
          <w:bCs/>
          <w:sz w:val="22"/>
          <w:szCs w:val="22"/>
        </w:rPr>
      </w:pPr>
      <w:r w:rsidRPr="00932FDF">
        <w:rPr>
          <w:rFonts w:ascii="Palatino Linotype" w:hAnsi="Palatino Linotype"/>
          <w:bCs/>
          <w:sz w:val="22"/>
          <w:szCs w:val="22"/>
        </w:rPr>
        <w:t>Market data is an essential element of fair and efficient markets. More specifically, market</w:t>
      </w:r>
      <w:r>
        <w:rPr>
          <w:rFonts w:ascii="Palatino Linotype" w:hAnsi="Palatino Linotype"/>
          <w:bCs/>
          <w:sz w:val="22"/>
          <w:szCs w:val="22"/>
        </w:rPr>
        <w:t xml:space="preserve"> </w:t>
      </w:r>
      <w:r w:rsidRPr="00932FDF">
        <w:rPr>
          <w:rFonts w:ascii="Palatino Linotype" w:hAnsi="Palatino Linotype"/>
          <w:bCs/>
          <w:sz w:val="22"/>
          <w:szCs w:val="22"/>
        </w:rPr>
        <w:t>participants need information on quotations and trades in order to make informed and</w:t>
      </w:r>
      <w:r>
        <w:rPr>
          <w:rFonts w:ascii="Palatino Linotype" w:hAnsi="Palatino Linotype"/>
          <w:bCs/>
          <w:sz w:val="22"/>
          <w:szCs w:val="22"/>
        </w:rPr>
        <w:t xml:space="preserve"> </w:t>
      </w:r>
      <w:r w:rsidRPr="00932FDF">
        <w:rPr>
          <w:rFonts w:ascii="Palatino Linotype" w:hAnsi="Palatino Linotype"/>
          <w:bCs/>
          <w:sz w:val="22"/>
          <w:szCs w:val="22"/>
        </w:rPr>
        <w:t>competitive trading decisions and to comply with certain regulatory requirements. However,</w:t>
      </w:r>
      <w:r>
        <w:rPr>
          <w:rFonts w:ascii="Palatino Linotype" w:hAnsi="Palatino Linotype"/>
          <w:bCs/>
          <w:sz w:val="22"/>
          <w:szCs w:val="22"/>
        </w:rPr>
        <w:t xml:space="preserve"> </w:t>
      </w:r>
      <w:r w:rsidRPr="00932FDF">
        <w:rPr>
          <w:rFonts w:ascii="Palatino Linotype" w:hAnsi="Palatino Linotype"/>
          <w:bCs/>
          <w:sz w:val="22"/>
          <w:szCs w:val="22"/>
        </w:rPr>
        <w:t>participants in many jurisdictions have raised concerns about the content, costs, accessibility,</w:t>
      </w:r>
      <w:r>
        <w:rPr>
          <w:rFonts w:ascii="Palatino Linotype" w:hAnsi="Palatino Linotype"/>
          <w:bCs/>
          <w:sz w:val="22"/>
          <w:szCs w:val="22"/>
        </w:rPr>
        <w:t xml:space="preserve"> </w:t>
      </w:r>
      <w:r w:rsidRPr="00932FDF">
        <w:rPr>
          <w:rFonts w:ascii="Palatino Linotype" w:hAnsi="Palatino Linotype"/>
          <w:bCs/>
          <w:sz w:val="22"/>
          <w:szCs w:val="22"/>
        </w:rPr>
        <w:t>fairness and consolidation of market data.</w:t>
      </w:r>
    </w:p>
    <w:p w:rsidR="00932FDF" w:rsidRDefault="00932FDF" w:rsidP="00932FDF">
      <w:pPr>
        <w:jc w:val="both"/>
        <w:rPr>
          <w:rFonts w:ascii="Palatino Linotype" w:hAnsi="Palatino Linotype"/>
          <w:bCs/>
          <w:sz w:val="22"/>
          <w:szCs w:val="22"/>
        </w:rPr>
      </w:pPr>
    </w:p>
    <w:p w:rsidR="00272724" w:rsidRPr="00697250" w:rsidRDefault="00272724" w:rsidP="00932FDF">
      <w:pPr>
        <w:jc w:val="both"/>
        <w:rPr>
          <w:rFonts w:ascii="Palatino Linotype" w:hAnsi="Palatino Linotype" w:cs="Calibri"/>
          <w:bCs/>
        </w:rPr>
      </w:pPr>
      <w:r w:rsidRPr="00697250">
        <w:rPr>
          <w:rFonts w:ascii="Palatino Linotype" w:hAnsi="Palatino Linotype" w:cs="Calibri"/>
          <w:bCs/>
        </w:rPr>
        <w:t xml:space="preserve">Source: </w:t>
      </w:r>
      <w:hyperlink r:id="rId37" w:history="1">
        <w:r w:rsidR="00932FDF" w:rsidRPr="005D409D">
          <w:rPr>
            <w:rStyle w:val="Hyperlink"/>
            <w:rFonts w:ascii="Palatino Linotype" w:hAnsi="Palatino Linotype" w:cs="Calibri"/>
            <w:bCs/>
          </w:rPr>
          <w:t>https://www.iosco.org/news/pdf/IOSCONEWS584.pdf</w:t>
        </w:r>
      </w:hyperlink>
    </w:p>
    <w:p w:rsidR="00272724" w:rsidRDefault="00272724" w:rsidP="00272724">
      <w:pPr>
        <w:rPr>
          <w:rFonts w:ascii="Palatino Linotype" w:hAnsi="Palatino Linotype"/>
          <w:b/>
          <w:sz w:val="22"/>
          <w:szCs w:val="22"/>
        </w:rPr>
      </w:pPr>
    </w:p>
    <w:p w:rsidR="00932FDF" w:rsidRDefault="00932FDF" w:rsidP="00932FDF">
      <w:pPr>
        <w:rPr>
          <w:rFonts w:ascii="Palatino Linotype" w:hAnsi="Palatino Linotype"/>
          <w:b/>
          <w:sz w:val="22"/>
          <w:szCs w:val="22"/>
        </w:rPr>
      </w:pPr>
      <w:r>
        <w:rPr>
          <w:rFonts w:ascii="Palatino Linotype" w:hAnsi="Palatino Linotype"/>
          <w:b/>
          <w:sz w:val="22"/>
          <w:szCs w:val="22"/>
        </w:rPr>
        <w:t xml:space="preserve">4) </w:t>
      </w:r>
      <w:r w:rsidRPr="00932FDF">
        <w:rPr>
          <w:rFonts w:ascii="Palatino Linotype" w:hAnsi="Palatino Linotype"/>
          <w:b/>
          <w:sz w:val="22"/>
          <w:szCs w:val="22"/>
        </w:rPr>
        <w:t>IOSCO publishes report on education of retail investors regarding risks of</w:t>
      </w:r>
      <w:r>
        <w:rPr>
          <w:rFonts w:ascii="Palatino Linotype" w:hAnsi="Palatino Linotype"/>
          <w:b/>
          <w:sz w:val="22"/>
          <w:szCs w:val="22"/>
        </w:rPr>
        <w:t xml:space="preserve"> </w:t>
      </w:r>
      <w:r w:rsidRPr="00932FDF">
        <w:rPr>
          <w:rFonts w:ascii="Palatino Linotype" w:hAnsi="Palatino Linotype"/>
          <w:b/>
          <w:sz w:val="22"/>
          <w:szCs w:val="22"/>
        </w:rPr>
        <w:t xml:space="preserve">crypto-assets </w:t>
      </w:r>
      <w:r w:rsidRPr="00932FDF">
        <w:rPr>
          <w:rFonts w:ascii="Palatino Linotype" w:hAnsi="Palatino Linotype"/>
          <w:b/>
          <w:sz w:val="22"/>
          <w:szCs w:val="22"/>
        </w:rPr>
        <w:cr/>
      </w:r>
    </w:p>
    <w:p w:rsidR="00932FDF" w:rsidRDefault="00932FDF" w:rsidP="00932FDF">
      <w:pPr>
        <w:rPr>
          <w:rFonts w:ascii="Palatino Linotype" w:hAnsi="Palatino Linotype"/>
          <w:b/>
          <w:sz w:val="22"/>
          <w:szCs w:val="22"/>
        </w:rPr>
      </w:pPr>
    </w:p>
    <w:p w:rsidR="00932FDF" w:rsidRDefault="00932FDF" w:rsidP="00932FDF">
      <w:pPr>
        <w:jc w:val="both"/>
        <w:rPr>
          <w:rFonts w:ascii="Palatino Linotype" w:hAnsi="Palatino Linotype"/>
          <w:bCs/>
          <w:sz w:val="22"/>
          <w:szCs w:val="22"/>
        </w:rPr>
      </w:pPr>
      <w:r w:rsidRPr="00932FDF">
        <w:rPr>
          <w:rFonts w:ascii="Palatino Linotype" w:hAnsi="Palatino Linotype"/>
          <w:bCs/>
          <w:sz w:val="22"/>
          <w:szCs w:val="22"/>
        </w:rPr>
        <w:t>The Board of the International Organization of Securities Commissions today published a</w:t>
      </w:r>
      <w:r>
        <w:rPr>
          <w:rFonts w:ascii="Palatino Linotype" w:hAnsi="Palatino Linotype"/>
          <w:bCs/>
          <w:sz w:val="22"/>
          <w:szCs w:val="22"/>
        </w:rPr>
        <w:t xml:space="preserve"> </w:t>
      </w:r>
      <w:r w:rsidRPr="00932FDF">
        <w:rPr>
          <w:rFonts w:ascii="Palatino Linotype" w:hAnsi="Palatino Linotype"/>
          <w:bCs/>
          <w:sz w:val="22"/>
          <w:szCs w:val="22"/>
        </w:rPr>
        <w:t>report that seeks to help regulators inform retail investors about the risks and characteristics of</w:t>
      </w:r>
      <w:r>
        <w:rPr>
          <w:rFonts w:ascii="Palatino Linotype" w:hAnsi="Palatino Linotype"/>
          <w:bCs/>
          <w:sz w:val="22"/>
          <w:szCs w:val="22"/>
        </w:rPr>
        <w:t xml:space="preserve"> </w:t>
      </w:r>
      <w:r w:rsidRPr="00932FDF">
        <w:rPr>
          <w:rFonts w:ascii="Palatino Linotype" w:hAnsi="Palatino Linotype"/>
          <w:bCs/>
          <w:sz w:val="22"/>
          <w:szCs w:val="22"/>
        </w:rPr>
        <w:t>crypto-assets.</w:t>
      </w:r>
    </w:p>
    <w:p w:rsidR="00932FDF" w:rsidRPr="00932FDF" w:rsidRDefault="00932FDF" w:rsidP="00932FDF">
      <w:pPr>
        <w:jc w:val="both"/>
        <w:rPr>
          <w:rFonts w:ascii="Palatino Linotype" w:hAnsi="Palatino Linotype"/>
          <w:bCs/>
          <w:sz w:val="22"/>
          <w:szCs w:val="22"/>
        </w:rPr>
      </w:pPr>
    </w:p>
    <w:p w:rsidR="00932FDF" w:rsidRPr="00932FDF" w:rsidRDefault="00932FDF" w:rsidP="00932FDF">
      <w:pPr>
        <w:jc w:val="both"/>
        <w:rPr>
          <w:rFonts w:ascii="Palatino Linotype" w:hAnsi="Palatino Linotype"/>
          <w:bCs/>
          <w:sz w:val="22"/>
          <w:szCs w:val="22"/>
        </w:rPr>
      </w:pPr>
      <w:r w:rsidRPr="00932FDF">
        <w:rPr>
          <w:rFonts w:ascii="Palatino Linotype" w:hAnsi="Palatino Linotype"/>
          <w:bCs/>
          <w:sz w:val="22"/>
          <w:szCs w:val="22"/>
        </w:rPr>
        <w:t>Crypto-assets carry risks that retail investors may not fully understand, increasing the chance</w:t>
      </w:r>
      <w:r>
        <w:rPr>
          <w:rFonts w:ascii="Palatino Linotype" w:hAnsi="Palatino Linotype"/>
          <w:bCs/>
          <w:sz w:val="22"/>
          <w:szCs w:val="22"/>
        </w:rPr>
        <w:t xml:space="preserve"> </w:t>
      </w:r>
      <w:r w:rsidRPr="00932FDF">
        <w:rPr>
          <w:rFonts w:ascii="Palatino Linotype" w:hAnsi="Palatino Linotype"/>
          <w:bCs/>
          <w:sz w:val="22"/>
          <w:szCs w:val="22"/>
        </w:rPr>
        <w:t>of losses on investments in these assets. The IOSCO report titled Investor Education on Crypto</w:t>
      </w:r>
      <w:r>
        <w:rPr>
          <w:rFonts w:ascii="Palatino Linotype" w:hAnsi="Palatino Linotype"/>
          <w:bCs/>
          <w:sz w:val="22"/>
          <w:szCs w:val="22"/>
        </w:rPr>
        <w:t xml:space="preserve"> </w:t>
      </w:r>
      <w:r w:rsidRPr="00932FDF">
        <w:rPr>
          <w:rFonts w:ascii="Palatino Linotype" w:hAnsi="Palatino Linotype"/>
          <w:bCs/>
          <w:sz w:val="22"/>
          <w:szCs w:val="22"/>
        </w:rPr>
        <w:t>Assets identifies an array of possible risks to investors, including such things as lack of market</w:t>
      </w:r>
      <w:r>
        <w:rPr>
          <w:rFonts w:ascii="Palatino Linotype" w:hAnsi="Palatino Linotype"/>
          <w:bCs/>
          <w:sz w:val="22"/>
          <w:szCs w:val="22"/>
        </w:rPr>
        <w:t xml:space="preserve"> </w:t>
      </w:r>
      <w:r w:rsidRPr="00932FDF">
        <w:rPr>
          <w:rFonts w:ascii="Palatino Linotype" w:hAnsi="Palatino Linotype"/>
          <w:bCs/>
          <w:sz w:val="22"/>
          <w:szCs w:val="22"/>
        </w:rPr>
        <w:t>liquidity, volatility, partial or total loss of the invested amount, insufficient information</w:t>
      </w:r>
      <w:r>
        <w:rPr>
          <w:rFonts w:ascii="Palatino Linotype" w:hAnsi="Palatino Linotype"/>
          <w:bCs/>
          <w:sz w:val="22"/>
          <w:szCs w:val="22"/>
        </w:rPr>
        <w:t xml:space="preserve"> </w:t>
      </w:r>
      <w:r w:rsidRPr="00932FDF">
        <w:rPr>
          <w:rFonts w:ascii="Palatino Linotype" w:hAnsi="Palatino Linotype"/>
          <w:bCs/>
          <w:sz w:val="22"/>
          <w:szCs w:val="22"/>
        </w:rPr>
        <w:t>disclosure and fraud.</w:t>
      </w:r>
    </w:p>
    <w:p w:rsidR="00932FDF" w:rsidRDefault="00932FDF" w:rsidP="00932FDF">
      <w:pPr>
        <w:jc w:val="both"/>
        <w:rPr>
          <w:rFonts w:ascii="Palatino Linotype" w:hAnsi="Palatino Linotype"/>
          <w:bCs/>
          <w:sz w:val="22"/>
          <w:szCs w:val="22"/>
        </w:rPr>
      </w:pPr>
    </w:p>
    <w:p w:rsidR="00932FDF" w:rsidRPr="00697250" w:rsidRDefault="00932FDF" w:rsidP="00932FDF">
      <w:pPr>
        <w:jc w:val="both"/>
        <w:rPr>
          <w:rFonts w:ascii="Palatino Linotype" w:hAnsi="Palatino Linotype" w:cs="Calibri"/>
          <w:bCs/>
        </w:rPr>
      </w:pPr>
      <w:r w:rsidRPr="00697250">
        <w:rPr>
          <w:rFonts w:ascii="Palatino Linotype" w:hAnsi="Palatino Linotype" w:cs="Calibri"/>
          <w:bCs/>
        </w:rPr>
        <w:t xml:space="preserve">Source: </w:t>
      </w:r>
      <w:hyperlink r:id="rId38" w:history="1">
        <w:r w:rsidRPr="005D409D">
          <w:rPr>
            <w:rStyle w:val="Hyperlink"/>
            <w:rFonts w:ascii="Palatino Linotype" w:hAnsi="Palatino Linotype" w:cs="Calibri"/>
            <w:bCs/>
          </w:rPr>
          <w:t>https://www.iosco.org/news/pdf/IOSCONEWS587.pdf</w:t>
        </w:r>
      </w:hyperlink>
    </w:p>
    <w:p w:rsidR="00932FDF" w:rsidRDefault="00932FDF"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Default="00272724" w:rsidP="00272724">
      <w:pPr>
        <w:rPr>
          <w:rFonts w:ascii="Palatino Linotype" w:hAnsi="Palatino Linotype"/>
          <w:b/>
          <w:sz w:val="22"/>
          <w:szCs w:val="22"/>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1.   </w:t>
      </w:r>
      <w:r w:rsidRPr="00AA6924">
        <w:rPr>
          <w:rFonts w:ascii="Palatino Linotype" w:hAnsi="Palatino Linotype"/>
          <w:b/>
          <w:color w:val="000000" w:themeColor="text1"/>
        </w:rPr>
        <w:t xml:space="preserve">Relaxation in </w:t>
      </w:r>
      <w:r>
        <w:rPr>
          <w:rFonts w:ascii="Palatino Linotype" w:hAnsi="Palatino Linotype"/>
          <w:b/>
          <w:color w:val="000000" w:themeColor="text1"/>
        </w:rPr>
        <w:t>T</w:t>
      </w:r>
      <w:r w:rsidRPr="00AA6924">
        <w:rPr>
          <w:rFonts w:ascii="Palatino Linotype" w:hAnsi="Palatino Linotype"/>
          <w:b/>
          <w:color w:val="000000" w:themeColor="text1"/>
        </w:rPr>
        <w:t>imelines</w:t>
      </w:r>
      <w:r>
        <w:rPr>
          <w:rFonts w:ascii="Palatino Linotype" w:hAnsi="Palatino Linotype"/>
          <w:b/>
          <w:color w:val="000000" w:themeColor="text1"/>
        </w:rPr>
        <w:t xml:space="preserve"> </w:t>
      </w:r>
      <w:r w:rsidRPr="00AA6924">
        <w:rPr>
          <w:rFonts w:ascii="Palatino Linotype" w:hAnsi="Palatino Linotype"/>
          <w:b/>
          <w:color w:val="000000" w:themeColor="text1"/>
        </w:rPr>
        <w:t>for</w:t>
      </w:r>
      <w:r>
        <w:rPr>
          <w:rFonts w:ascii="Palatino Linotype" w:hAnsi="Palatino Linotype"/>
          <w:b/>
          <w:color w:val="000000" w:themeColor="text1"/>
        </w:rPr>
        <w:t xml:space="preserve"> C</w:t>
      </w:r>
      <w:r w:rsidRPr="00AA6924">
        <w:rPr>
          <w:rFonts w:ascii="Palatino Linotype" w:hAnsi="Palatino Linotype"/>
          <w:b/>
          <w:color w:val="000000" w:themeColor="text1"/>
        </w:rPr>
        <w:t xml:space="preserve">ompliance with </w:t>
      </w:r>
      <w:r>
        <w:rPr>
          <w:rFonts w:ascii="Palatino Linotype" w:hAnsi="Palatino Linotype"/>
          <w:b/>
          <w:color w:val="000000" w:themeColor="text1"/>
        </w:rPr>
        <w:t>R</w:t>
      </w:r>
      <w:r w:rsidRPr="00AA6924">
        <w:rPr>
          <w:rFonts w:ascii="Palatino Linotype" w:hAnsi="Palatino Linotype"/>
          <w:b/>
          <w:color w:val="000000" w:themeColor="text1"/>
        </w:rPr>
        <w:t xml:space="preserve">egulatory </w:t>
      </w:r>
      <w:r>
        <w:rPr>
          <w:rFonts w:ascii="Palatino Linotype" w:hAnsi="Palatino Linotype"/>
          <w:b/>
          <w:color w:val="000000" w:themeColor="text1"/>
        </w:rPr>
        <w:t>R</w:t>
      </w:r>
      <w:r w:rsidRPr="00AA6924">
        <w:rPr>
          <w:rFonts w:ascii="Palatino Linotype" w:hAnsi="Palatino Linotype"/>
          <w:b/>
          <w:color w:val="000000" w:themeColor="text1"/>
        </w:rPr>
        <w:t>equirements</w:t>
      </w:r>
    </w:p>
    <w:p w:rsidR="00DD68D0" w:rsidRPr="008570C3" w:rsidRDefault="00DD68D0" w:rsidP="00DD68D0">
      <w:pPr>
        <w:shd w:val="clear" w:color="auto" w:fill="FFFFFF"/>
        <w:spacing w:line="276" w:lineRule="auto"/>
        <w:jc w:val="both"/>
        <w:rPr>
          <w:rFonts w:ascii="Palatino Linotype" w:hAnsi="Palatino Linotype"/>
          <w:b/>
          <w:color w:val="000000" w:themeColor="text1"/>
        </w:rPr>
      </w:pPr>
    </w:p>
    <w:p w:rsidR="00DD68D0" w:rsidRDefault="00DD68D0" w:rsidP="00DD68D0">
      <w:pPr>
        <w:shd w:val="clear" w:color="auto" w:fill="FFFFFF"/>
        <w:spacing w:line="276" w:lineRule="auto"/>
        <w:jc w:val="both"/>
        <w:rPr>
          <w:rFonts w:ascii="Palatino Linotype" w:hAnsi="Palatino Linotype"/>
          <w:bCs/>
          <w:color w:val="000000" w:themeColor="text1"/>
        </w:rPr>
      </w:pPr>
      <w:r w:rsidRPr="00DB56EA">
        <w:rPr>
          <w:rFonts w:ascii="Palatino Linotype" w:hAnsi="Palatino Linotype"/>
          <w:bCs/>
          <w:color w:val="000000" w:themeColor="text1"/>
        </w:rPr>
        <w:t>In view of the prevailing situation due to C</w:t>
      </w:r>
      <w:r>
        <w:rPr>
          <w:rFonts w:ascii="Palatino Linotype" w:hAnsi="Palatino Linotype"/>
          <w:bCs/>
          <w:color w:val="000000" w:themeColor="text1"/>
        </w:rPr>
        <w:t>OVID</w:t>
      </w:r>
      <w:r w:rsidRPr="00DB56EA">
        <w:rPr>
          <w:rFonts w:ascii="Palatino Linotype" w:hAnsi="Palatino Linotype"/>
          <w:bCs/>
          <w:color w:val="000000" w:themeColor="text1"/>
        </w:rPr>
        <w:t>-19 pandemic and representation received from the stock exchanges, the timelines for compliance of regulatory requirements (such as half yearly audits and net worth certificate) by the trading members / clearing members has been extended. Relaxation has also been given in timelines for compliance by depository participants for various regulatory requirements such as submission of internal audit report, system audit and uploading of KYC and supporting documents.</w:t>
      </w:r>
    </w:p>
    <w:p w:rsidR="00DD68D0" w:rsidRPr="008570C3" w:rsidRDefault="00DD68D0" w:rsidP="00DD68D0">
      <w:pPr>
        <w:shd w:val="clear" w:color="auto" w:fill="FFFFFF"/>
        <w:spacing w:line="276" w:lineRule="auto"/>
        <w:jc w:val="both"/>
        <w:rPr>
          <w:rFonts w:ascii="Palatino Linotype" w:hAnsi="Palatino Linotype"/>
          <w:color w:val="000000" w:themeColor="text1"/>
        </w:rPr>
      </w:pP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Source: </w:t>
      </w:r>
      <w:r w:rsidRPr="00AA6924">
        <w:rPr>
          <w:rFonts w:ascii="Palatino Linotype" w:hAnsi="Palatino Linotype"/>
          <w:b/>
          <w:color w:val="000000" w:themeColor="text1"/>
        </w:rPr>
        <w:t>SEBI/HO/MIRSD/DOP/CIR/P/2020/235</w:t>
      </w:r>
      <w:r w:rsidRPr="008570C3">
        <w:rPr>
          <w:rFonts w:ascii="Palatino Linotype" w:hAnsi="Palatino Linotype"/>
          <w:b/>
          <w:color w:val="000000" w:themeColor="text1"/>
        </w:rPr>
        <w:t xml:space="preserve"> dated </w:t>
      </w:r>
      <w:r>
        <w:rPr>
          <w:rFonts w:ascii="Palatino Linotype" w:hAnsi="Palatino Linotype"/>
          <w:b/>
          <w:color w:val="000000" w:themeColor="text1"/>
        </w:rPr>
        <w:t>December 01</w:t>
      </w:r>
      <w:r w:rsidRPr="008570C3">
        <w:rPr>
          <w:rFonts w:ascii="Palatino Linotype" w:hAnsi="Palatino Linotype"/>
          <w:b/>
          <w:color w:val="000000" w:themeColor="text1"/>
        </w:rPr>
        <w:t>, 2020</w:t>
      </w:r>
    </w:p>
    <w:p w:rsidR="00DD68D0" w:rsidRPr="008570C3" w:rsidRDefault="00DD68D0" w:rsidP="00DD68D0">
      <w:pPr>
        <w:jc w:val="both"/>
        <w:rPr>
          <w:rFonts w:ascii="Palatino Linotype" w:hAnsi="Palatino Linotype"/>
          <w:b/>
          <w:sz w:val="28"/>
          <w:szCs w:val="36"/>
          <w:u w:val="single"/>
        </w:rPr>
      </w:pP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2.   </w:t>
      </w:r>
      <w:r w:rsidRPr="00AA6924">
        <w:rPr>
          <w:rFonts w:ascii="Palatino Linotype" w:hAnsi="Palatino Linotype"/>
          <w:b/>
          <w:color w:val="000000" w:themeColor="text1"/>
        </w:rPr>
        <w:t xml:space="preserve">Operational </w:t>
      </w:r>
      <w:r>
        <w:rPr>
          <w:rFonts w:ascii="Palatino Linotype" w:hAnsi="Palatino Linotype"/>
          <w:b/>
          <w:color w:val="000000" w:themeColor="text1"/>
        </w:rPr>
        <w:t>G</w:t>
      </w:r>
      <w:r w:rsidRPr="00AA6924">
        <w:rPr>
          <w:rFonts w:ascii="Palatino Linotype" w:hAnsi="Palatino Linotype"/>
          <w:b/>
          <w:color w:val="000000" w:themeColor="text1"/>
        </w:rPr>
        <w:t xml:space="preserve">uidelines for Transfer and Dematerialization of </w:t>
      </w:r>
      <w:r>
        <w:rPr>
          <w:rFonts w:ascii="Palatino Linotype" w:hAnsi="Palatino Linotype"/>
          <w:b/>
          <w:color w:val="000000" w:themeColor="text1"/>
        </w:rPr>
        <w:t>R</w:t>
      </w:r>
      <w:r w:rsidRPr="00AA6924">
        <w:rPr>
          <w:rFonts w:ascii="Palatino Linotype" w:hAnsi="Palatino Linotype"/>
          <w:b/>
          <w:color w:val="000000" w:themeColor="text1"/>
        </w:rPr>
        <w:t xml:space="preserve">e-lodged </w:t>
      </w:r>
      <w:r>
        <w:rPr>
          <w:rFonts w:ascii="Palatino Linotype" w:hAnsi="Palatino Linotype"/>
          <w:b/>
          <w:color w:val="000000" w:themeColor="text1"/>
        </w:rPr>
        <w:t>P</w:t>
      </w:r>
      <w:r w:rsidRPr="00AA6924">
        <w:rPr>
          <w:rFonts w:ascii="Palatino Linotype" w:hAnsi="Palatino Linotype"/>
          <w:b/>
          <w:color w:val="000000" w:themeColor="text1"/>
        </w:rPr>
        <w:t xml:space="preserve">hysical </w:t>
      </w:r>
      <w:r>
        <w:rPr>
          <w:rFonts w:ascii="Palatino Linotype" w:hAnsi="Palatino Linotype"/>
          <w:b/>
          <w:color w:val="000000" w:themeColor="text1"/>
        </w:rPr>
        <w:t>S</w:t>
      </w:r>
      <w:r w:rsidRPr="00AA6924">
        <w:rPr>
          <w:rFonts w:ascii="Palatino Linotype" w:hAnsi="Palatino Linotype"/>
          <w:b/>
          <w:color w:val="000000" w:themeColor="text1"/>
        </w:rPr>
        <w:t>hares</w:t>
      </w:r>
    </w:p>
    <w:p w:rsidR="00DD68D0" w:rsidRPr="008570C3" w:rsidRDefault="00DD68D0" w:rsidP="00DD68D0">
      <w:pPr>
        <w:shd w:val="clear" w:color="auto" w:fill="FFFFFF"/>
        <w:spacing w:line="276" w:lineRule="auto"/>
        <w:jc w:val="both"/>
        <w:rPr>
          <w:rFonts w:ascii="Palatino Linotype" w:hAnsi="Palatino Linotype"/>
          <w:b/>
          <w:color w:val="000000" w:themeColor="text1"/>
        </w:rPr>
      </w:pPr>
    </w:p>
    <w:p w:rsidR="00DD68D0" w:rsidRDefault="00DD68D0" w:rsidP="00DD68D0">
      <w:pPr>
        <w:shd w:val="clear" w:color="auto" w:fill="FFFFFF"/>
        <w:spacing w:line="276" w:lineRule="auto"/>
        <w:jc w:val="both"/>
        <w:rPr>
          <w:rFonts w:ascii="Palatino Linotype" w:hAnsi="Palatino Linotype"/>
          <w:bCs/>
          <w:color w:val="000000" w:themeColor="text1"/>
        </w:rPr>
      </w:pPr>
      <w:r w:rsidRPr="00DB56EA">
        <w:rPr>
          <w:rFonts w:ascii="Palatino Linotype" w:hAnsi="Palatino Linotype"/>
          <w:bCs/>
          <w:color w:val="000000" w:themeColor="text1"/>
        </w:rPr>
        <w:t xml:space="preserve">Operational guidelines for crediting the transferred shares into the respective demat account of the investor </w:t>
      </w:r>
      <w:r>
        <w:rPr>
          <w:rFonts w:ascii="Palatino Linotype" w:hAnsi="Palatino Linotype"/>
          <w:bCs/>
          <w:color w:val="000000" w:themeColor="text1"/>
        </w:rPr>
        <w:t>were</w:t>
      </w:r>
      <w:r w:rsidRPr="00DB56EA">
        <w:rPr>
          <w:rFonts w:ascii="Palatino Linotype" w:hAnsi="Palatino Linotype"/>
          <w:bCs/>
          <w:color w:val="000000" w:themeColor="text1"/>
        </w:rPr>
        <w:t xml:space="preserve"> issued. As per the guidelines, subsequent to processing of the re-lodged transfer request, the RTA shall retain the physical shares and intimate the investor (transferee) about the execution of transfer through a letter of confirmation which inter-alia, will contain details of endorsement, shares, folio of investor as available on the physical share. The investor </w:t>
      </w:r>
      <w:r>
        <w:rPr>
          <w:rFonts w:ascii="Palatino Linotype" w:hAnsi="Palatino Linotype"/>
          <w:bCs/>
          <w:color w:val="000000" w:themeColor="text1"/>
        </w:rPr>
        <w:t xml:space="preserve">is required to </w:t>
      </w:r>
      <w:r w:rsidRPr="00DB56EA">
        <w:rPr>
          <w:rFonts w:ascii="Palatino Linotype" w:hAnsi="Palatino Linotype"/>
          <w:bCs/>
          <w:color w:val="000000" w:themeColor="text1"/>
        </w:rPr>
        <w:t>submit the demat request, within 90 days of issue of letter of confirmation, to depository participant, who will process the demat request. In case of locked-in shares, demat mode for lock-in would be enabled for six months from transfer registration date. If demat request is not received from the investor within 90 days of the date of letter of confirmation, the shares will be credited to suspense escrow demat account of the company.</w:t>
      </w:r>
    </w:p>
    <w:p w:rsidR="00DD68D0" w:rsidRPr="008570C3" w:rsidRDefault="00DD68D0" w:rsidP="00DD68D0">
      <w:pPr>
        <w:shd w:val="clear" w:color="auto" w:fill="FFFFFF"/>
        <w:spacing w:line="276" w:lineRule="auto"/>
        <w:jc w:val="both"/>
        <w:rPr>
          <w:rFonts w:ascii="Palatino Linotype" w:hAnsi="Palatino Linotype"/>
          <w:color w:val="000000" w:themeColor="text1"/>
        </w:rPr>
      </w:pPr>
      <w:r w:rsidRPr="008570C3">
        <w:rPr>
          <w:rFonts w:ascii="Palatino Linotype" w:hAnsi="Palatino Linotype"/>
          <w:color w:val="000000" w:themeColor="text1"/>
        </w:rPr>
        <w:t xml:space="preserve"> </w:t>
      </w: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Source: </w:t>
      </w:r>
      <w:r w:rsidRPr="00AA6924">
        <w:rPr>
          <w:rFonts w:ascii="Palatino Linotype" w:hAnsi="Palatino Linotype"/>
          <w:b/>
          <w:color w:val="000000" w:themeColor="text1"/>
        </w:rPr>
        <w:t>SEBI/HO/MIRSD/RTAMB/CIR/P/2020/236</w:t>
      </w:r>
      <w:r w:rsidRPr="008570C3">
        <w:rPr>
          <w:rFonts w:ascii="Palatino Linotype" w:hAnsi="Palatino Linotype"/>
          <w:b/>
          <w:color w:val="000000" w:themeColor="text1"/>
        </w:rPr>
        <w:t xml:space="preserve"> dated </w:t>
      </w:r>
      <w:r w:rsidRPr="00AA6924">
        <w:rPr>
          <w:rFonts w:ascii="Palatino Linotype" w:hAnsi="Palatino Linotype"/>
          <w:b/>
          <w:color w:val="000000" w:themeColor="text1"/>
        </w:rPr>
        <w:t>December 0</w:t>
      </w:r>
      <w:r>
        <w:rPr>
          <w:rFonts w:ascii="Palatino Linotype" w:hAnsi="Palatino Linotype"/>
          <w:b/>
          <w:color w:val="000000" w:themeColor="text1"/>
        </w:rPr>
        <w:t>2</w:t>
      </w:r>
      <w:r w:rsidRPr="00AA6924">
        <w:rPr>
          <w:rFonts w:ascii="Palatino Linotype" w:hAnsi="Palatino Linotype"/>
          <w:b/>
          <w:color w:val="000000" w:themeColor="text1"/>
        </w:rPr>
        <w:t>, 2020</w:t>
      </w:r>
    </w:p>
    <w:p w:rsidR="00E10EB8" w:rsidRDefault="00E10EB8" w:rsidP="00E10EB8"/>
    <w:p w:rsidR="00DD68D0" w:rsidRPr="008570C3" w:rsidRDefault="00E11027" w:rsidP="00DD68D0">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3</w:t>
      </w:r>
      <w:r w:rsidR="00DD68D0" w:rsidRPr="008570C3">
        <w:rPr>
          <w:rFonts w:ascii="Palatino Linotype" w:hAnsi="Palatino Linotype"/>
          <w:b/>
          <w:color w:val="000000" w:themeColor="text1"/>
        </w:rPr>
        <w:t xml:space="preserve">.   </w:t>
      </w:r>
      <w:r w:rsidR="00DD68D0" w:rsidRPr="009D0E2F">
        <w:rPr>
          <w:rFonts w:ascii="Palatino Linotype" w:hAnsi="Palatino Linotype"/>
          <w:b/>
          <w:color w:val="000000" w:themeColor="text1"/>
        </w:rPr>
        <w:t>Additional payment mechanism for payment of balance money in calls for partly paid specified securities issued by the listed entity</w:t>
      </w:r>
    </w:p>
    <w:p w:rsidR="00DD68D0" w:rsidRPr="008570C3" w:rsidRDefault="00DD68D0" w:rsidP="00DD68D0">
      <w:pPr>
        <w:shd w:val="clear" w:color="auto" w:fill="FFFFFF"/>
        <w:spacing w:line="276" w:lineRule="auto"/>
        <w:jc w:val="both"/>
        <w:rPr>
          <w:rFonts w:ascii="Palatino Linotype" w:hAnsi="Palatino Linotype"/>
          <w:b/>
          <w:color w:val="000000" w:themeColor="text1"/>
        </w:rPr>
      </w:pPr>
    </w:p>
    <w:p w:rsidR="00DD68D0" w:rsidRDefault="00DD68D0" w:rsidP="00DD68D0">
      <w:pPr>
        <w:shd w:val="clear" w:color="auto" w:fill="FFFFFF"/>
        <w:spacing w:line="276" w:lineRule="auto"/>
        <w:jc w:val="both"/>
        <w:rPr>
          <w:rFonts w:ascii="Palatino Linotype" w:hAnsi="Palatino Linotype"/>
          <w:bCs/>
          <w:color w:val="000000" w:themeColor="text1"/>
        </w:rPr>
      </w:pPr>
      <w:r w:rsidRPr="009D0E2F">
        <w:rPr>
          <w:rFonts w:ascii="Palatino Linotype" w:hAnsi="Palatino Linotype"/>
          <w:bCs/>
          <w:color w:val="000000" w:themeColor="text1"/>
        </w:rPr>
        <w:t>As payment through Application Supported by Blocked Amount (ASBA) mechanism is investor friendly and enables faster completion of the process, it has been decided to introduce additional payment mechanism (i.e. ASBA, etc</w:t>
      </w:r>
      <w:r>
        <w:rPr>
          <w:rFonts w:ascii="Palatino Linotype" w:hAnsi="Palatino Linotype"/>
          <w:bCs/>
          <w:color w:val="000000" w:themeColor="text1"/>
        </w:rPr>
        <w:t>.</w:t>
      </w:r>
      <w:r w:rsidRPr="009D0E2F">
        <w:rPr>
          <w:rFonts w:ascii="Palatino Linotype" w:hAnsi="Palatino Linotype"/>
          <w:bCs/>
          <w:color w:val="000000" w:themeColor="text1"/>
        </w:rPr>
        <w:t>) for making subscription and/or payment of calls in respect of partly paid specified securities through Self certified Syndicate Banks (SCSBs) and intermediaries such as Trading Members/ Brokers - having three in one type account and Registrar and Transfer agents (RTAs). The payment period for payment of balance money in calls will be kept open for fifteen days. The intermediaries including the issuer company and its RTA will provide necessary guidance to the specified security holders in use of ASBA mechanism while making payment of calls. The above requirement will be applicable for all Call Money Notice wherein the payment period opens on or after January 01, 2021.</w:t>
      </w:r>
    </w:p>
    <w:p w:rsidR="00DD68D0" w:rsidRPr="008570C3" w:rsidRDefault="00DD68D0" w:rsidP="00DD68D0">
      <w:pPr>
        <w:shd w:val="clear" w:color="auto" w:fill="FFFFFF"/>
        <w:spacing w:line="276" w:lineRule="auto"/>
        <w:jc w:val="both"/>
        <w:rPr>
          <w:rFonts w:ascii="Palatino Linotype" w:hAnsi="Palatino Linotype"/>
          <w:color w:val="000000" w:themeColor="text1"/>
        </w:rPr>
      </w:pP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Source: </w:t>
      </w:r>
      <w:r w:rsidRPr="009D0E2F">
        <w:rPr>
          <w:rFonts w:ascii="Palatino Linotype" w:hAnsi="Palatino Linotype"/>
          <w:b/>
          <w:color w:val="000000" w:themeColor="text1"/>
        </w:rPr>
        <w:t>SEBI/HO/CFD/DIL1/CIR/238/2020</w:t>
      </w:r>
      <w:r w:rsidRPr="008570C3">
        <w:rPr>
          <w:rFonts w:ascii="Palatino Linotype" w:hAnsi="Palatino Linotype"/>
          <w:b/>
          <w:color w:val="000000" w:themeColor="text1"/>
        </w:rPr>
        <w:t xml:space="preserve"> dated </w:t>
      </w:r>
      <w:r>
        <w:rPr>
          <w:rFonts w:ascii="Palatino Linotype" w:hAnsi="Palatino Linotype"/>
          <w:b/>
          <w:color w:val="000000" w:themeColor="text1"/>
        </w:rPr>
        <w:t>December 08</w:t>
      </w:r>
      <w:r w:rsidRPr="008570C3">
        <w:rPr>
          <w:rFonts w:ascii="Palatino Linotype" w:hAnsi="Palatino Linotype"/>
          <w:b/>
          <w:color w:val="000000" w:themeColor="text1"/>
        </w:rPr>
        <w:t>, 2020</w:t>
      </w:r>
    </w:p>
    <w:p w:rsidR="00DD68D0" w:rsidRPr="008570C3" w:rsidRDefault="00DD68D0" w:rsidP="00DD68D0">
      <w:pPr>
        <w:jc w:val="both"/>
        <w:rPr>
          <w:rFonts w:ascii="Palatino Linotype" w:hAnsi="Palatino Linotype"/>
          <w:b/>
          <w:sz w:val="28"/>
          <w:szCs w:val="36"/>
          <w:u w:val="single"/>
        </w:rPr>
      </w:pPr>
    </w:p>
    <w:p w:rsidR="00DD68D0" w:rsidRPr="009D0E2F" w:rsidRDefault="00E11027" w:rsidP="00DD68D0">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4</w:t>
      </w:r>
      <w:r w:rsidR="00DD68D0" w:rsidRPr="008570C3">
        <w:rPr>
          <w:rFonts w:ascii="Palatino Linotype" w:hAnsi="Palatino Linotype"/>
          <w:b/>
          <w:color w:val="000000" w:themeColor="text1"/>
        </w:rPr>
        <w:t xml:space="preserve">.   </w:t>
      </w:r>
      <w:r w:rsidR="00DD68D0" w:rsidRPr="009D0E2F">
        <w:rPr>
          <w:rFonts w:ascii="Palatino Linotype" w:hAnsi="Palatino Linotype"/>
          <w:b/>
          <w:color w:val="000000" w:themeColor="text1"/>
        </w:rPr>
        <w:t>e-Voting facility provided by listed entities</w:t>
      </w:r>
    </w:p>
    <w:p w:rsidR="00DD68D0" w:rsidRDefault="00DD68D0" w:rsidP="00DD68D0">
      <w:pPr>
        <w:shd w:val="clear" w:color="auto" w:fill="FFFFFF"/>
        <w:spacing w:line="276" w:lineRule="auto"/>
        <w:jc w:val="both"/>
        <w:rPr>
          <w:rFonts w:ascii="Palatino Linotype" w:hAnsi="Palatino Linotype"/>
          <w:bCs/>
          <w:color w:val="000000" w:themeColor="text1"/>
        </w:rPr>
      </w:pPr>
    </w:p>
    <w:p w:rsidR="00DD68D0" w:rsidRDefault="00DD68D0" w:rsidP="00DD68D0">
      <w:pPr>
        <w:shd w:val="clear" w:color="auto" w:fill="FFFFFF"/>
        <w:spacing w:line="276" w:lineRule="auto"/>
        <w:jc w:val="both"/>
        <w:rPr>
          <w:rFonts w:ascii="Palatino Linotype" w:hAnsi="Palatino Linotype"/>
          <w:bCs/>
          <w:color w:val="000000" w:themeColor="text1"/>
        </w:rPr>
      </w:pPr>
      <w:r w:rsidRPr="009D0E2F">
        <w:rPr>
          <w:rFonts w:ascii="Palatino Linotype" w:hAnsi="Palatino Linotype"/>
          <w:bCs/>
          <w:color w:val="000000" w:themeColor="text1"/>
        </w:rPr>
        <w:t xml:space="preserve">In order to increase the efficiency of the e-voting process, it has been decided to enable e-voting to all the individual demat account holders, by way of a single login credential, through their demat accounts/ websites of depositories/ depository participants (DPs). Individual demat account holders would be able to cast their vote without having to register again with the e-voting service providers (ESPs), thereby, not only facilitating seamless authentication but also enhancing ease and convenience of participating in e-voting process. The same shall be implemented in a phased manner. Phase 1 will be implemented in next 6 months and will involve registration of shareholders directly with depositories or through demat accounts with DPs. Shareholders can then cast their vote based on validation carried out by depository. Listed entities have to provide details of upcoming AGMs requiring voting, to the depository which will then send alerts to demat holders at least 2 days prior to commencement of e-voting.  In Phase 2 convenience and security of the e-voting system will be further enhanced by requirement of validation through OTP verification process.  Phase 2 will be implemented within 12 months from completion of phase 1. </w:t>
      </w:r>
    </w:p>
    <w:p w:rsidR="00DD68D0" w:rsidRPr="008570C3" w:rsidRDefault="00DD68D0" w:rsidP="00DD68D0">
      <w:pPr>
        <w:shd w:val="clear" w:color="auto" w:fill="FFFFFF"/>
        <w:spacing w:line="276" w:lineRule="auto"/>
        <w:jc w:val="both"/>
        <w:rPr>
          <w:rFonts w:ascii="Palatino Linotype" w:hAnsi="Palatino Linotype"/>
          <w:color w:val="000000" w:themeColor="text1"/>
        </w:rPr>
      </w:pPr>
      <w:r w:rsidRPr="008570C3">
        <w:rPr>
          <w:rFonts w:ascii="Palatino Linotype" w:hAnsi="Palatino Linotype"/>
          <w:color w:val="000000" w:themeColor="text1"/>
        </w:rPr>
        <w:t xml:space="preserve"> </w:t>
      </w: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Source: </w:t>
      </w:r>
      <w:r w:rsidRPr="009D0E2F">
        <w:rPr>
          <w:rFonts w:ascii="Palatino Linotype" w:hAnsi="Palatino Linotype"/>
          <w:b/>
          <w:color w:val="000000" w:themeColor="text1"/>
        </w:rPr>
        <w:t>SEBI/HO/CFD/CMD/CIR/P/2020/242</w:t>
      </w:r>
      <w:r>
        <w:rPr>
          <w:rFonts w:ascii="Palatino Linotype" w:hAnsi="Palatino Linotype"/>
          <w:b/>
          <w:color w:val="000000" w:themeColor="text1"/>
        </w:rPr>
        <w:t xml:space="preserve"> </w:t>
      </w:r>
      <w:r w:rsidRPr="008570C3">
        <w:rPr>
          <w:rFonts w:ascii="Palatino Linotype" w:hAnsi="Palatino Linotype"/>
          <w:b/>
          <w:color w:val="000000" w:themeColor="text1"/>
        </w:rPr>
        <w:t xml:space="preserve"> dated </w:t>
      </w:r>
      <w:r w:rsidRPr="00AA6924">
        <w:rPr>
          <w:rFonts w:ascii="Palatino Linotype" w:hAnsi="Palatino Linotype"/>
          <w:b/>
          <w:color w:val="000000" w:themeColor="text1"/>
        </w:rPr>
        <w:t>December 0</w:t>
      </w:r>
      <w:r>
        <w:rPr>
          <w:rFonts w:ascii="Palatino Linotype" w:hAnsi="Palatino Linotype"/>
          <w:b/>
          <w:color w:val="000000" w:themeColor="text1"/>
        </w:rPr>
        <w:t>9</w:t>
      </w:r>
      <w:r w:rsidRPr="00AA6924">
        <w:rPr>
          <w:rFonts w:ascii="Palatino Linotype" w:hAnsi="Palatino Linotype"/>
          <w:b/>
          <w:color w:val="000000" w:themeColor="text1"/>
        </w:rPr>
        <w:t>, 2020</w:t>
      </w:r>
    </w:p>
    <w:p w:rsidR="00DD68D0" w:rsidRDefault="00DD68D0" w:rsidP="00E10EB8"/>
    <w:p w:rsidR="00DD68D0" w:rsidRPr="006F070C" w:rsidRDefault="00E11027" w:rsidP="00DD68D0">
      <w:pPr>
        <w:shd w:val="clear" w:color="auto" w:fill="FFFFFF"/>
        <w:spacing w:line="276" w:lineRule="auto"/>
        <w:jc w:val="both"/>
        <w:rPr>
          <w:rFonts w:ascii="Palatino Linotype" w:hAnsi="Palatino Linotype"/>
          <w:b/>
          <w:color w:val="000000" w:themeColor="text1"/>
        </w:rPr>
      </w:pPr>
      <w:r>
        <w:rPr>
          <w:rFonts w:ascii="Palatino Linotype" w:hAnsi="Palatino Linotype"/>
          <w:b/>
          <w:color w:val="000000" w:themeColor="text1"/>
        </w:rPr>
        <w:t>5</w:t>
      </w:r>
      <w:r w:rsidR="00DD68D0" w:rsidRPr="006F070C">
        <w:rPr>
          <w:rFonts w:ascii="Palatino Linotype" w:hAnsi="Palatino Linotype"/>
          <w:b/>
          <w:color w:val="000000" w:themeColor="text1"/>
        </w:rPr>
        <w:t>.   Framework for Issue of Depository Receipts - Clarifications</w:t>
      </w:r>
    </w:p>
    <w:p w:rsidR="00DD68D0" w:rsidRPr="006F070C" w:rsidRDefault="00DD68D0" w:rsidP="00DD68D0">
      <w:pPr>
        <w:shd w:val="clear" w:color="auto" w:fill="FFFFFF"/>
        <w:spacing w:line="276" w:lineRule="auto"/>
        <w:jc w:val="both"/>
        <w:rPr>
          <w:rFonts w:ascii="Palatino Linotype" w:hAnsi="Palatino Linotype"/>
          <w:b/>
          <w:color w:val="000000" w:themeColor="text1"/>
        </w:rPr>
      </w:pPr>
    </w:p>
    <w:p w:rsidR="00DD68D0" w:rsidRPr="006F070C" w:rsidRDefault="00DD68D0" w:rsidP="00DD68D0">
      <w:pPr>
        <w:shd w:val="clear" w:color="auto" w:fill="FFFFFF"/>
        <w:spacing w:line="276" w:lineRule="auto"/>
        <w:jc w:val="both"/>
        <w:rPr>
          <w:rFonts w:ascii="Palatino Linotype" w:hAnsi="Palatino Linotype"/>
          <w:bCs/>
          <w:color w:val="000000" w:themeColor="text1"/>
        </w:rPr>
      </w:pPr>
      <w:r w:rsidRPr="006F070C">
        <w:rPr>
          <w:rFonts w:ascii="Palatino Linotype" w:hAnsi="Palatino Linotype"/>
          <w:bCs/>
          <w:color w:val="000000" w:themeColor="text1"/>
        </w:rPr>
        <w:t>Based on representations received from market participants, clarification was issued for the framework for issue of Depository Receipts (DRs) . Accordingly, existing conditions for a permissible holder of DRs will not apply in case of issue of DRs to NRIs under below provisions:</w:t>
      </w:r>
    </w:p>
    <w:p w:rsidR="00DD68D0" w:rsidRPr="00322708" w:rsidRDefault="00DD68D0" w:rsidP="00DD68D0">
      <w:pPr>
        <w:shd w:val="clear" w:color="auto" w:fill="FFFFFF"/>
        <w:spacing w:line="276" w:lineRule="auto"/>
        <w:jc w:val="both"/>
        <w:rPr>
          <w:rFonts w:ascii="Palatino Linotype" w:hAnsi="Palatino Linotype"/>
          <w:bCs/>
          <w:color w:val="000000" w:themeColor="text1"/>
        </w:rPr>
      </w:pPr>
    </w:p>
    <w:p w:rsidR="00DD68D0" w:rsidRPr="00322708" w:rsidRDefault="00DD68D0" w:rsidP="00DD68D0">
      <w:pPr>
        <w:shd w:val="clear" w:color="auto" w:fill="FFFFFF"/>
        <w:spacing w:line="276" w:lineRule="auto"/>
        <w:jc w:val="both"/>
        <w:rPr>
          <w:rFonts w:ascii="Palatino Linotype" w:hAnsi="Palatino Linotype"/>
          <w:bCs/>
          <w:color w:val="000000" w:themeColor="text1"/>
        </w:rPr>
      </w:pPr>
      <w:r w:rsidRPr="00322708">
        <w:rPr>
          <w:rFonts w:ascii="Palatino Linotype" w:hAnsi="Palatino Linotype"/>
          <w:bCs/>
          <w:color w:val="000000" w:themeColor="text1"/>
        </w:rPr>
        <w:t>a.</w:t>
      </w:r>
      <w:r w:rsidRPr="00322708">
        <w:rPr>
          <w:rFonts w:ascii="Palatino Linotype" w:hAnsi="Palatino Linotype"/>
          <w:bCs/>
          <w:color w:val="000000" w:themeColor="text1"/>
        </w:rPr>
        <w:tab/>
        <w:t>pursuant to share based employee benefit schemes which are implemented by a company in terms of SEBI (Share Based Employee Benefits) Regulations 2014;</w:t>
      </w:r>
    </w:p>
    <w:p w:rsidR="00DD68D0" w:rsidRPr="00322708" w:rsidRDefault="00DD68D0" w:rsidP="00DD68D0">
      <w:pPr>
        <w:shd w:val="clear" w:color="auto" w:fill="FFFFFF"/>
        <w:spacing w:line="276" w:lineRule="auto"/>
        <w:jc w:val="both"/>
        <w:rPr>
          <w:rFonts w:ascii="Palatino Linotype" w:hAnsi="Palatino Linotype"/>
          <w:bCs/>
          <w:color w:val="000000" w:themeColor="text1"/>
        </w:rPr>
      </w:pPr>
      <w:r w:rsidRPr="00322708">
        <w:rPr>
          <w:rFonts w:ascii="Palatino Linotype" w:hAnsi="Palatino Linotype"/>
          <w:bCs/>
          <w:color w:val="000000" w:themeColor="text1"/>
        </w:rPr>
        <w:t>b.</w:t>
      </w:r>
      <w:r w:rsidRPr="00322708">
        <w:rPr>
          <w:rFonts w:ascii="Palatino Linotype" w:hAnsi="Palatino Linotype"/>
          <w:bCs/>
          <w:color w:val="000000" w:themeColor="text1"/>
        </w:rPr>
        <w:tab/>
        <w:t>pursuant to a bonus issue or a rights issue.</w:t>
      </w:r>
    </w:p>
    <w:p w:rsidR="00DD68D0" w:rsidRPr="00322708" w:rsidRDefault="00DD68D0" w:rsidP="00DD68D0">
      <w:pPr>
        <w:shd w:val="clear" w:color="auto" w:fill="FFFFFF"/>
        <w:spacing w:line="276" w:lineRule="auto"/>
        <w:jc w:val="both"/>
        <w:rPr>
          <w:rFonts w:ascii="Palatino Linotype" w:hAnsi="Palatino Linotype"/>
          <w:bCs/>
          <w:color w:val="000000" w:themeColor="text1"/>
        </w:rPr>
      </w:pPr>
    </w:p>
    <w:p w:rsidR="00DD68D0" w:rsidRDefault="00DD68D0" w:rsidP="00DD68D0">
      <w:pPr>
        <w:shd w:val="clear" w:color="auto" w:fill="FFFFFF"/>
        <w:spacing w:line="276" w:lineRule="auto"/>
        <w:jc w:val="both"/>
        <w:rPr>
          <w:rFonts w:ascii="Palatino Linotype" w:hAnsi="Palatino Linotype"/>
          <w:bCs/>
          <w:color w:val="000000" w:themeColor="text1"/>
        </w:rPr>
      </w:pPr>
      <w:r w:rsidRPr="00322708">
        <w:rPr>
          <w:rFonts w:ascii="Palatino Linotype" w:hAnsi="Palatino Linotype"/>
          <w:bCs/>
          <w:color w:val="000000" w:themeColor="text1"/>
        </w:rPr>
        <w:t>NRIs shall neither subscribe to any further issue of DRs nor make any further acquisition of DRs (including of DRs issued prior to October 10, 2019) except as permitted in the above provisions. The onus of identification of NRI holders, who are issued DRs in terms of employee benefit scheme, would lie with the listed company. The listed company shall provide the information of such NRI DR holders to the designated depository for the purpose of monitoring of limits.</w:t>
      </w:r>
    </w:p>
    <w:p w:rsidR="00DD68D0" w:rsidRPr="008570C3" w:rsidRDefault="00DD68D0" w:rsidP="00DD68D0">
      <w:pPr>
        <w:shd w:val="clear" w:color="auto" w:fill="FFFFFF"/>
        <w:spacing w:line="276" w:lineRule="auto"/>
        <w:jc w:val="both"/>
        <w:rPr>
          <w:rFonts w:ascii="Palatino Linotype" w:hAnsi="Palatino Linotype"/>
          <w:color w:val="000000" w:themeColor="text1"/>
        </w:rPr>
      </w:pPr>
    </w:p>
    <w:p w:rsidR="00DD68D0" w:rsidRPr="008570C3" w:rsidRDefault="00DD68D0" w:rsidP="00DD68D0">
      <w:pPr>
        <w:shd w:val="clear" w:color="auto" w:fill="FFFFFF"/>
        <w:spacing w:line="276" w:lineRule="auto"/>
        <w:jc w:val="both"/>
        <w:rPr>
          <w:rFonts w:ascii="Palatino Linotype" w:hAnsi="Palatino Linotype"/>
          <w:b/>
          <w:color w:val="000000" w:themeColor="text1"/>
        </w:rPr>
      </w:pPr>
      <w:r w:rsidRPr="008570C3">
        <w:rPr>
          <w:rFonts w:ascii="Palatino Linotype" w:hAnsi="Palatino Linotype"/>
          <w:b/>
          <w:color w:val="000000" w:themeColor="text1"/>
        </w:rPr>
        <w:t xml:space="preserve">Source: </w:t>
      </w:r>
      <w:r w:rsidRPr="00875E6C">
        <w:rPr>
          <w:rFonts w:ascii="Palatino Linotype" w:hAnsi="Palatino Linotype"/>
          <w:b/>
          <w:color w:val="000000" w:themeColor="text1"/>
        </w:rPr>
        <w:t>SEBI/HO/MRD2/DCAP/CIR/P/2020/243</w:t>
      </w:r>
      <w:r w:rsidRPr="008570C3">
        <w:rPr>
          <w:rFonts w:ascii="Palatino Linotype" w:hAnsi="Palatino Linotype"/>
          <w:b/>
          <w:color w:val="000000" w:themeColor="text1"/>
        </w:rPr>
        <w:t xml:space="preserve"> dated </w:t>
      </w:r>
      <w:r>
        <w:rPr>
          <w:rFonts w:ascii="Palatino Linotype" w:hAnsi="Palatino Linotype"/>
          <w:b/>
          <w:color w:val="000000" w:themeColor="text1"/>
        </w:rPr>
        <w:t>December 18</w:t>
      </w:r>
      <w:r w:rsidRPr="008570C3">
        <w:rPr>
          <w:rFonts w:ascii="Palatino Linotype" w:hAnsi="Palatino Linotype"/>
          <w:b/>
          <w:color w:val="000000" w:themeColor="text1"/>
        </w:rPr>
        <w:t>, 2020</w:t>
      </w:r>
    </w:p>
    <w:p w:rsidR="00DD68D0" w:rsidRDefault="00DD68D0" w:rsidP="00E10EB8"/>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6</w:t>
      </w:r>
      <w:r w:rsidR="00DD68D0" w:rsidRPr="00CC0DD7">
        <w:rPr>
          <w:rFonts w:ascii="Palatino Linotype" w:eastAsia="Calibri" w:hAnsi="Palatino Linotype"/>
          <w:b/>
          <w:color w:val="000000"/>
        </w:rPr>
        <w:t>.  Review of inclusion of Historical Scenarios in Stress Testing in Commodity Derivatives Segment</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Pr="00CC0DD7" w:rsidRDefault="00DD68D0" w:rsidP="00DD68D0">
      <w:pPr>
        <w:shd w:val="clear" w:color="auto" w:fill="FFFFFF"/>
        <w:spacing w:line="276" w:lineRule="auto"/>
        <w:jc w:val="both"/>
        <w:rPr>
          <w:rFonts w:ascii="Palatino Linotype" w:eastAsia="Calibri" w:hAnsi="Palatino Linotype"/>
          <w:bCs/>
          <w:color w:val="000000"/>
        </w:rPr>
      </w:pPr>
      <w:r w:rsidRPr="00CC0DD7">
        <w:rPr>
          <w:rFonts w:ascii="Palatino Linotype" w:eastAsia="Calibri" w:hAnsi="Palatino Linotype"/>
          <w:bCs/>
          <w:color w:val="000000"/>
        </w:rPr>
        <w:t>In light of an unprecedented event of negative final settlement price in the crude oil futures markets, an Alternate Risk Management Framework was prescribed vide circular dated September 21,2020, in case of near zero and / or negative prices for any underlying commodities/futures. In this context, based on the representations received from market participants, the requirement of including all the price movements during the last 15 years, in the historical scenarios prescribed for stress testing was reviewed by the Risk Management Review Committee (RMRC).  Accordingly, in line with the recommendations of RMRC and with a view to address the concerns emanating from exceptional and extreme volatile price events, it has been decided that price movements corresponding to a Z-score of 10 will  replace extreme price movements beyond the threshold in peak historical returns of all the commodities in stress testing of commodity derivatives segment.</w:t>
      </w:r>
    </w:p>
    <w:p w:rsidR="00DD68D0" w:rsidRPr="00CC0DD7" w:rsidRDefault="00DD68D0" w:rsidP="00DD68D0">
      <w:pPr>
        <w:shd w:val="clear" w:color="auto" w:fill="FFFFFF"/>
        <w:spacing w:line="276" w:lineRule="auto"/>
        <w:jc w:val="both"/>
        <w:rPr>
          <w:rFonts w:ascii="Palatino Linotype" w:hAnsi="Palatino Linotype"/>
          <w:b/>
          <w:color w:val="000000"/>
        </w:rPr>
      </w:pPr>
    </w:p>
    <w:p w:rsidR="00DD68D0" w:rsidRPr="00CC0DD7" w:rsidRDefault="00DD68D0" w:rsidP="00DD68D0">
      <w:pPr>
        <w:shd w:val="clear" w:color="auto" w:fill="FFFFFF"/>
        <w:spacing w:line="276" w:lineRule="auto"/>
        <w:jc w:val="both"/>
        <w:rPr>
          <w:rFonts w:ascii="Palatino Linotype" w:hAnsi="Palatino Linotype"/>
          <w:b/>
          <w:color w:val="000000"/>
        </w:rPr>
      </w:pPr>
      <w:r w:rsidRPr="00CC0DD7">
        <w:rPr>
          <w:rFonts w:ascii="Palatino Linotype" w:hAnsi="Palatino Linotype"/>
          <w:b/>
          <w:color w:val="000000"/>
        </w:rPr>
        <w:t>Source: SEBI/HO/CDMRD/DRMP/CIR/P/2020/244  dated December 21, 2020</w:t>
      </w:r>
    </w:p>
    <w:p w:rsidR="00DD68D0" w:rsidRDefault="00DD68D0" w:rsidP="00DD68D0">
      <w:pPr>
        <w:jc w:val="both"/>
        <w:rPr>
          <w:rFonts w:ascii="Palatino Linotype" w:hAnsi="Palatino Linotype"/>
          <w:b/>
          <w:sz w:val="28"/>
          <w:szCs w:val="36"/>
          <w:u w:val="single"/>
        </w:rPr>
      </w:pPr>
    </w:p>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7</w:t>
      </w:r>
      <w:r w:rsidR="00DD68D0" w:rsidRPr="00CC0DD7">
        <w:rPr>
          <w:rFonts w:ascii="Palatino Linotype" w:eastAsia="Calibri" w:hAnsi="Palatino Linotype"/>
          <w:b/>
          <w:color w:val="000000"/>
        </w:rPr>
        <w:t>.  Core Settlement Guarantee Fund, Default Waterfall and Stress Test for Limited Purpose Clearing Corporation</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Pr="00CC0DD7" w:rsidRDefault="00DD68D0" w:rsidP="00DD68D0">
      <w:pPr>
        <w:shd w:val="clear" w:color="auto" w:fill="FFFFFF"/>
        <w:spacing w:line="276" w:lineRule="auto"/>
        <w:jc w:val="both"/>
        <w:rPr>
          <w:rFonts w:ascii="Palatino Linotype" w:eastAsia="Calibri" w:hAnsi="Palatino Linotype"/>
          <w:bCs/>
          <w:color w:val="000000"/>
        </w:rPr>
      </w:pPr>
      <w:r w:rsidRPr="00CC0DD7">
        <w:rPr>
          <w:rFonts w:ascii="Palatino Linotype" w:eastAsia="Calibri" w:hAnsi="Palatino Linotype"/>
          <w:bCs/>
          <w:color w:val="000000"/>
        </w:rPr>
        <w:t>Securities Contracts (Regulation) (Stock Exchanges and Clearing Corporations) (Amendment) Regulations, 2020, (SECC Amendment Regulations, 2020)  was notified on October 08, 2020, to permit setting up of a Limited Purpose Clearing Corporation (LPCC) for clearing and settlement of repo transactions in debt securities. In view of the same, SEBI circulars dated August 27, 2014 and January 03, 2020 on Core Settlement Guarantee Fund (SGF), stress testing and default waterfall procedures stands modified. The modified clauses are as under:</w:t>
      </w:r>
    </w:p>
    <w:p w:rsidR="00DD68D0" w:rsidRPr="00CC0DD7" w:rsidRDefault="00DD68D0" w:rsidP="00DD68D0">
      <w:pPr>
        <w:shd w:val="clear" w:color="auto" w:fill="FFFFFF"/>
        <w:spacing w:line="276" w:lineRule="auto"/>
        <w:jc w:val="both"/>
        <w:rPr>
          <w:rFonts w:ascii="Palatino Linotype" w:eastAsia="Calibri" w:hAnsi="Palatino Linotype"/>
          <w:bCs/>
          <w:color w:val="000000"/>
        </w:rPr>
      </w:pP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a.</w:t>
      </w:r>
      <w:r w:rsidRPr="00CC0DD7">
        <w:rPr>
          <w:rFonts w:ascii="Palatino Linotype" w:eastAsia="Calibri" w:hAnsi="Palatino Linotype"/>
          <w:bCs/>
          <w:color w:val="000000"/>
        </w:rPr>
        <w:tab/>
        <w:t>Contribution of issuers of debt securities to Core SGF shall be equivalent to 0.5 basis points of the issuance value of debt securities per annum based on the maturity of debt securities, to be collected upfront.</w:t>
      </w: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b.    Clearing members’ (CM) contribution to Core SGF shall be risk-based and equivalent to deficit in minimum required corpus (MRC) post-contribution by issuers.</w:t>
      </w: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c.</w:t>
      </w:r>
      <w:r w:rsidRPr="00CC0DD7">
        <w:rPr>
          <w:rFonts w:ascii="Palatino Linotype" w:eastAsia="Calibri" w:hAnsi="Palatino Linotype"/>
          <w:bCs/>
          <w:color w:val="000000"/>
        </w:rPr>
        <w:tab/>
        <w:t xml:space="preserve">LPCC shall have the flexibility to collect CM primary contribution. In case LPCC does not seek contribution from CM or seeks staggered contribution, the remaining balance shall be met by LPCC to ensure adequacy of total Core SGF corpus at all times. </w:t>
      </w:r>
    </w:p>
    <w:p w:rsidR="00DD68D0" w:rsidRPr="00CC0DD7" w:rsidRDefault="00DD68D0" w:rsidP="00DD68D0">
      <w:pPr>
        <w:shd w:val="clear" w:color="auto" w:fill="FFFFFF"/>
        <w:spacing w:line="276" w:lineRule="auto"/>
        <w:jc w:val="both"/>
        <w:rPr>
          <w:rFonts w:ascii="Palatino Linotype" w:eastAsia="Calibri" w:hAnsi="Palatino Linotype"/>
          <w:bCs/>
          <w:color w:val="000000"/>
        </w:rPr>
      </w:pP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d.</w:t>
      </w:r>
      <w:r w:rsidRPr="00CC0DD7">
        <w:rPr>
          <w:rFonts w:ascii="Palatino Linotype" w:eastAsia="Calibri" w:hAnsi="Palatino Linotype"/>
          <w:bCs/>
          <w:color w:val="000000"/>
        </w:rPr>
        <w:tab/>
        <w:t>LPCC shall transfer profit to the Core SGF, within 30 days of adoption of financial statements by the shareholders in the annual general meeting. LPCC’s contribution to Core SGF shall be considered as part of its net worth.</w:t>
      </w:r>
    </w:p>
    <w:p w:rsidR="00DD68D0" w:rsidRPr="00CC0DD7" w:rsidRDefault="00DD68D0" w:rsidP="00DD68D0">
      <w:pPr>
        <w:shd w:val="clear" w:color="auto" w:fill="FFFFFF"/>
        <w:spacing w:line="276" w:lineRule="auto"/>
        <w:jc w:val="both"/>
        <w:rPr>
          <w:rFonts w:ascii="Palatino Linotype" w:eastAsia="Calibri" w:hAnsi="Palatino Linotype"/>
          <w:bCs/>
          <w:color w:val="000000"/>
        </w:rPr>
      </w:pP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e.</w:t>
      </w:r>
      <w:r w:rsidRPr="00CC0DD7">
        <w:rPr>
          <w:rFonts w:ascii="Palatino Linotype" w:eastAsia="Calibri" w:hAnsi="Palatino Linotype"/>
          <w:bCs/>
          <w:color w:val="000000"/>
        </w:rPr>
        <w:tab/>
        <w:t xml:space="preserve">Requisite contributions to Core SGF by various contributors shall be made before start of the month except upfront contribution by issuers and annual contribution of profits by LPCC for any month. In the event of usage of Core SGF during a calendar month, contributors shall immediately replenish the Core SGF to MRC. However, such contribution towards replenishment of Core SGF by the members would be restricted to only once during a period of 30 calendar days regardless of the number of defaults during the period. </w:t>
      </w:r>
    </w:p>
    <w:p w:rsidR="00DD68D0" w:rsidRPr="00CC0DD7" w:rsidRDefault="00DD68D0" w:rsidP="00DD68D0">
      <w:pPr>
        <w:shd w:val="clear" w:color="auto" w:fill="FFFFFF"/>
        <w:spacing w:line="276" w:lineRule="auto"/>
        <w:jc w:val="both"/>
        <w:rPr>
          <w:rFonts w:ascii="Palatino Linotype" w:eastAsia="Calibri" w:hAnsi="Palatino Linotype"/>
          <w:bCs/>
          <w:color w:val="000000"/>
        </w:rPr>
      </w:pP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f.</w:t>
      </w:r>
      <w:r w:rsidRPr="00CC0DD7">
        <w:rPr>
          <w:rFonts w:ascii="Palatino Linotype" w:eastAsia="Calibri" w:hAnsi="Palatino Linotype"/>
          <w:bCs/>
          <w:color w:val="000000"/>
        </w:rPr>
        <w:tab/>
        <w:t>The default waterfall of LPCC shall be of the order - monies of defaulting member; insurance; issuers’ contribution to Core SGF; LPCC resources (equal to 5% of MRC); Core SGF; Remaining LPCC resources; capped additional contribution by non-defaulting members; and pro-rata haircut to payouts.</w:t>
      </w:r>
    </w:p>
    <w:p w:rsidR="00DD68D0" w:rsidRPr="00CC0DD7" w:rsidRDefault="00DD68D0" w:rsidP="00DD68D0">
      <w:pPr>
        <w:shd w:val="clear" w:color="auto" w:fill="FFFFFF"/>
        <w:spacing w:line="276" w:lineRule="auto"/>
        <w:jc w:val="both"/>
        <w:rPr>
          <w:rFonts w:ascii="Palatino Linotype" w:eastAsia="Calibri" w:hAnsi="Palatino Linotype"/>
          <w:bCs/>
          <w:color w:val="000000"/>
        </w:rPr>
      </w:pPr>
    </w:p>
    <w:p w:rsidR="00DD68D0" w:rsidRPr="00CC0DD7" w:rsidRDefault="00DD68D0" w:rsidP="00DD68D0">
      <w:pPr>
        <w:shd w:val="clear" w:color="auto" w:fill="FFFFFF"/>
        <w:spacing w:line="276" w:lineRule="auto"/>
        <w:ind w:left="426" w:hanging="426"/>
        <w:jc w:val="both"/>
        <w:rPr>
          <w:rFonts w:ascii="Palatino Linotype" w:eastAsia="Calibri" w:hAnsi="Palatino Linotype"/>
          <w:bCs/>
          <w:color w:val="000000"/>
        </w:rPr>
      </w:pPr>
      <w:r w:rsidRPr="00CC0DD7">
        <w:rPr>
          <w:rFonts w:ascii="Palatino Linotype" w:eastAsia="Calibri" w:hAnsi="Palatino Linotype"/>
          <w:bCs/>
          <w:color w:val="000000"/>
        </w:rPr>
        <w:t>g.</w:t>
      </w:r>
      <w:r w:rsidRPr="00CC0DD7">
        <w:rPr>
          <w:rFonts w:ascii="Palatino Linotype" w:eastAsia="Calibri" w:hAnsi="Palatino Linotype"/>
          <w:bCs/>
          <w:color w:val="000000"/>
        </w:rPr>
        <w:tab/>
        <w:t>The contribution made by LPCC towards Core SGF, shall be considered for the purpose of computing capital requirements towards credit risk.</w:t>
      </w:r>
    </w:p>
    <w:p w:rsidR="00DD68D0" w:rsidRPr="00CC0DD7" w:rsidRDefault="00DD68D0" w:rsidP="00DD68D0">
      <w:pPr>
        <w:shd w:val="clear" w:color="auto" w:fill="FFFFFF"/>
        <w:spacing w:line="276" w:lineRule="auto"/>
        <w:jc w:val="both"/>
        <w:rPr>
          <w:rFonts w:ascii="Palatino Linotype" w:hAnsi="Palatino Linotype"/>
          <w:b/>
          <w:color w:val="000000"/>
        </w:rPr>
      </w:pPr>
    </w:p>
    <w:p w:rsidR="00DD68D0" w:rsidRPr="00CC0DD7" w:rsidRDefault="00DD68D0" w:rsidP="00DD68D0">
      <w:pPr>
        <w:shd w:val="clear" w:color="auto" w:fill="FFFFFF"/>
        <w:spacing w:line="276" w:lineRule="auto"/>
        <w:jc w:val="both"/>
        <w:rPr>
          <w:rFonts w:ascii="Palatino Linotype" w:hAnsi="Palatino Linotype"/>
          <w:b/>
          <w:color w:val="000000"/>
        </w:rPr>
      </w:pPr>
      <w:r w:rsidRPr="00CC0DD7">
        <w:rPr>
          <w:rFonts w:ascii="Palatino Linotype" w:hAnsi="Palatino Linotype"/>
          <w:b/>
          <w:color w:val="000000"/>
        </w:rPr>
        <w:t>Source: SEBI/HO/CDMRD/DRMP/CIR/P/2020/244  dated December 21, 2020</w:t>
      </w:r>
    </w:p>
    <w:p w:rsidR="00DD68D0" w:rsidRDefault="00DD68D0" w:rsidP="00E10EB8"/>
    <w:p w:rsidR="00DD68D0" w:rsidRDefault="00DD68D0" w:rsidP="00E10EB8"/>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8</w:t>
      </w:r>
      <w:r w:rsidR="00DD68D0" w:rsidRPr="00CC0DD7">
        <w:rPr>
          <w:rFonts w:ascii="Palatino Linotype" w:eastAsia="Calibri" w:hAnsi="Palatino Linotype"/>
          <w:b/>
          <w:color w:val="000000"/>
        </w:rPr>
        <w:t xml:space="preserve">.  </w:t>
      </w:r>
      <w:r w:rsidR="00DD68D0" w:rsidRPr="005C09F8">
        <w:rPr>
          <w:rFonts w:ascii="Palatino Linotype" w:eastAsia="Calibri" w:hAnsi="Palatino Linotype"/>
          <w:b/>
          <w:color w:val="000000"/>
        </w:rPr>
        <w:t xml:space="preserve">Circular on Mutual </w:t>
      </w:r>
      <w:r w:rsidR="00DD68D0">
        <w:rPr>
          <w:rFonts w:ascii="Palatino Linotype" w:eastAsia="Calibri" w:hAnsi="Palatino Linotype"/>
          <w:b/>
          <w:color w:val="000000"/>
        </w:rPr>
        <w:t>F</w:t>
      </w:r>
      <w:r w:rsidR="00DD68D0" w:rsidRPr="005C09F8">
        <w:rPr>
          <w:rFonts w:ascii="Palatino Linotype" w:eastAsia="Calibri" w:hAnsi="Palatino Linotype"/>
          <w:b/>
          <w:color w:val="000000"/>
        </w:rPr>
        <w:t>unds</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Pr="005C09F8" w:rsidRDefault="00DD68D0" w:rsidP="00DD68D0">
      <w:pPr>
        <w:shd w:val="clear" w:color="auto" w:fill="FFFFFF"/>
        <w:spacing w:line="276" w:lineRule="auto"/>
        <w:jc w:val="both"/>
        <w:rPr>
          <w:rFonts w:ascii="Palatino Linotype" w:eastAsia="Calibri" w:hAnsi="Palatino Linotype"/>
          <w:bCs/>
          <w:color w:val="000000"/>
        </w:rPr>
      </w:pPr>
      <w:r>
        <w:rPr>
          <w:rFonts w:ascii="Palatino Linotype" w:eastAsia="Calibri" w:hAnsi="Palatino Linotype"/>
          <w:bCs/>
          <w:color w:val="000000"/>
        </w:rPr>
        <w:t xml:space="preserve">Circular on mutual funds was issued with the following details - </w:t>
      </w:r>
    </w:p>
    <w:p w:rsidR="00DD68D0" w:rsidRPr="005C09F8" w:rsidRDefault="00DD68D0" w:rsidP="00DD68D0">
      <w:pPr>
        <w:shd w:val="clear" w:color="auto" w:fill="FFFFFF"/>
        <w:spacing w:line="276" w:lineRule="auto"/>
        <w:jc w:val="both"/>
        <w:rPr>
          <w:rFonts w:ascii="Palatino Linotype" w:eastAsia="Calibri" w:hAnsi="Palatino Linotype"/>
          <w:bCs/>
          <w:color w:val="000000"/>
        </w:rPr>
      </w:pPr>
    </w:p>
    <w:p w:rsidR="00DD68D0"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a)</w:t>
      </w:r>
      <w:r w:rsidRPr="005C09F8">
        <w:rPr>
          <w:rFonts w:ascii="Palatino Linotype" w:eastAsia="Calibri" w:hAnsi="Palatino Linotype"/>
          <w:bCs/>
          <w:color w:val="000000"/>
        </w:rPr>
        <w:tab/>
        <w:t xml:space="preserve">The applicability of the </w:t>
      </w:r>
      <w:r>
        <w:rPr>
          <w:rFonts w:ascii="Palatino Linotype" w:eastAsia="Calibri" w:hAnsi="Palatino Linotype"/>
          <w:bCs/>
          <w:color w:val="000000"/>
        </w:rPr>
        <w:t>uniformity in applicability of net asset values across various schemes upon realization of funds was</w:t>
      </w:r>
      <w:r w:rsidRPr="005C09F8">
        <w:rPr>
          <w:rFonts w:ascii="Palatino Linotype" w:eastAsia="Calibri" w:hAnsi="Palatino Linotype"/>
          <w:bCs/>
          <w:color w:val="000000"/>
        </w:rPr>
        <w:t xml:space="preserve"> extended to February 1, 2021 instead of January 1, 2021 after considering the representation from AMFI.</w:t>
      </w:r>
    </w:p>
    <w:p w:rsidR="00DD68D0" w:rsidRPr="005C09F8" w:rsidRDefault="00DD68D0" w:rsidP="00DD68D0">
      <w:pPr>
        <w:shd w:val="clear" w:color="auto" w:fill="FFFFFF"/>
        <w:jc w:val="both"/>
        <w:rPr>
          <w:rFonts w:ascii="Palatino Linotype" w:eastAsia="Calibri" w:hAnsi="Palatino Linotype"/>
          <w:bCs/>
          <w:color w:val="000000"/>
        </w:rPr>
      </w:pPr>
    </w:p>
    <w:p w:rsidR="00DD68D0" w:rsidRPr="005C09F8"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b)</w:t>
      </w:r>
      <w:r w:rsidRPr="005C09F8">
        <w:rPr>
          <w:rFonts w:ascii="Palatino Linotype" w:eastAsia="Calibri" w:hAnsi="Palatino Linotype"/>
          <w:bCs/>
          <w:color w:val="000000"/>
        </w:rPr>
        <w:tab/>
      </w:r>
      <w:r>
        <w:rPr>
          <w:rFonts w:ascii="Palatino Linotype" w:eastAsia="Calibri" w:hAnsi="Palatino Linotype"/>
          <w:bCs/>
          <w:color w:val="000000"/>
        </w:rPr>
        <w:t xml:space="preserve">Partial modifications were made to para 2 on ‘trade execution and allocation’ of SEBI Circular no. SEBI/HO/IMD/DF2/CIR/P/2020/175 dated September 17, 2020. </w:t>
      </w:r>
    </w:p>
    <w:p w:rsidR="00DD68D0" w:rsidRDefault="00DD68D0" w:rsidP="00DD68D0">
      <w:pPr>
        <w:shd w:val="clear" w:color="auto" w:fill="FFFFFF"/>
        <w:jc w:val="both"/>
        <w:rPr>
          <w:rFonts w:ascii="Palatino Linotype" w:eastAsia="Calibri" w:hAnsi="Palatino Linotype"/>
          <w:bCs/>
          <w:color w:val="000000"/>
        </w:rPr>
      </w:pPr>
    </w:p>
    <w:p w:rsidR="00DD68D0"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ab/>
      </w:r>
    </w:p>
    <w:p w:rsidR="00DD68D0" w:rsidRPr="00CC0DD7" w:rsidRDefault="00DD68D0" w:rsidP="00DD68D0">
      <w:pPr>
        <w:shd w:val="clear" w:color="auto" w:fill="FFFFFF"/>
        <w:spacing w:line="276" w:lineRule="auto"/>
        <w:jc w:val="both"/>
        <w:rPr>
          <w:rFonts w:ascii="Palatino Linotype" w:hAnsi="Palatino Linotype"/>
          <w:b/>
          <w:color w:val="000000"/>
        </w:rPr>
      </w:pPr>
    </w:p>
    <w:p w:rsidR="00DD68D0" w:rsidRPr="00CC0DD7" w:rsidRDefault="00DD68D0" w:rsidP="00DD68D0">
      <w:pPr>
        <w:shd w:val="clear" w:color="auto" w:fill="FFFFFF"/>
        <w:spacing w:line="276" w:lineRule="auto"/>
        <w:jc w:val="both"/>
        <w:rPr>
          <w:rFonts w:ascii="Palatino Linotype" w:hAnsi="Palatino Linotype"/>
          <w:b/>
          <w:color w:val="000000"/>
        </w:rPr>
      </w:pPr>
      <w:r w:rsidRPr="00CC0DD7">
        <w:rPr>
          <w:rFonts w:ascii="Palatino Linotype" w:hAnsi="Palatino Linotype"/>
          <w:b/>
          <w:color w:val="000000"/>
        </w:rPr>
        <w:t xml:space="preserve">Source: </w:t>
      </w:r>
      <w:r w:rsidRPr="005C09F8">
        <w:rPr>
          <w:rFonts w:ascii="Palatino Linotype" w:hAnsi="Palatino Linotype"/>
          <w:b/>
          <w:color w:val="000000"/>
        </w:rPr>
        <w:t>SEBI/HO/IMD/DF2/CIR/P/2020/253</w:t>
      </w:r>
      <w:r w:rsidRPr="00CC0DD7">
        <w:rPr>
          <w:rFonts w:ascii="Palatino Linotype" w:hAnsi="Palatino Linotype"/>
          <w:b/>
          <w:color w:val="000000"/>
        </w:rPr>
        <w:t xml:space="preserve">  dated December </w:t>
      </w:r>
      <w:r>
        <w:rPr>
          <w:rFonts w:ascii="Palatino Linotype" w:hAnsi="Palatino Linotype"/>
          <w:b/>
          <w:color w:val="000000"/>
        </w:rPr>
        <w:t>3</w:t>
      </w:r>
      <w:r w:rsidRPr="00CC0DD7">
        <w:rPr>
          <w:rFonts w:ascii="Palatino Linotype" w:hAnsi="Palatino Linotype"/>
          <w:b/>
          <w:color w:val="000000"/>
        </w:rPr>
        <w:t>1, 2020</w:t>
      </w:r>
    </w:p>
    <w:p w:rsidR="00DD68D0" w:rsidRDefault="00DD68D0" w:rsidP="00DD68D0">
      <w:pPr>
        <w:jc w:val="both"/>
        <w:rPr>
          <w:rFonts w:ascii="Palatino Linotype" w:hAnsi="Palatino Linotype"/>
          <w:b/>
          <w:sz w:val="28"/>
          <w:szCs w:val="36"/>
          <w:u w:val="single"/>
        </w:rPr>
      </w:pPr>
    </w:p>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9</w:t>
      </w:r>
      <w:r w:rsidR="00DD68D0" w:rsidRPr="00CC0DD7">
        <w:rPr>
          <w:rFonts w:ascii="Palatino Linotype" w:eastAsia="Calibri" w:hAnsi="Palatino Linotype"/>
          <w:b/>
          <w:color w:val="000000"/>
        </w:rPr>
        <w:t xml:space="preserve">.  </w:t>
      </w:r>
      <w:r w:rsidR="00DD68D0" w:rsidRPr="005C09F8">
        <w:rPr>
          <w:rFonts w:ascii="Palatino Linotype" w:eastAsia="Calibri" w:hAnsi="Palatino Linotype"/>
          <w:b/>
          <w:color w:val="000000"/>
        </w:rPr>
        <w:t>Creation of Security in issuance of listed debt securities and ‘due diligence’ by debenture trustee(s) - Extension of timeline for implementation</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Default="00DD68D0" w:rsidP="00DD68D0">
      <w:pPr>
        <w:shd w:val="clear" w:color="auto" w:fill="FFFFFF"/>
        <w:spacing w:line="276" w:lineRule="auto"/>
        <w:jc w:val="both"/>
        <w:rPr>
          <w:rFonts w:ascii="Palatino Linotype" w:eastAsia="Calibri" w:hAnsi="Palatino Linotype"/>
          <w:bCs/>
          <w:color w:val="000000"/>
        </w:rPr>
      </w:pPr>
      <w:r w:rsidRPr="005C09F8">
        <w:rPr>
          <w:rFonts w:ascii="Palatino Linotype" w:eastAsia="Calibri" w:hAnsi="Palatino Linotype"/>
          <w:bCs/>
          <w:color w:val="000000"/>
        </w:rPr>
        <w:t>SEBI had specified requirements with regard to creation of security in issuance of listed debt securities and due diligence to be carried out by debenture trustee(s) vide circular number SEBI/HO/MIRSD/CRADT/CIR/P/2020/218 dated November 03, 2020 which were applicable from January 01, 2021. After considering the representation from debenture trustees and keeping in mind the challenges arising out of the prevailing business and market condition due to COVID-19, the implementation date of the provisions provided in the above circular has been extended to April 01, 2021.</w:t>
      </w:r>
    </w:p>
    <w:p w:rsidR="00DD68D0" w:rsidRPr="00CC0DD7" w:rsidRDefault="00DD68D0" w:rsidP="00DD68D0">
      <w:pPr>
        <w:shd w:val="clear" w:color="auto" w:fill="FFFFFF"/>
        <w:spacing w:line="276" w:lineRule="auto"/>
        <w:jc w:val="both"/>
        <w:rPr>
          <w:rFonts w:ascii="Palatino Linotype" w:hAnsi="Palatino Linotype"/>
          <w:b/>
          <w:color w:val="000000"/>
        </w:rPr>
      </w:pPr>
    </w:p>
    <w:p w:rsidR="00DD68D0" w:rsidRPr="00CC0DD7" w:rsidRDefault="00DD68D0" w:rsidP="00DD68D0">
      <w:pPr>
        <w:shd w:val="clear" w:color="auto" w:fill="FFFFFF"/>
        <w:spacing w:line="276" w:lineRule="auto"/>
        <w:jc w:val="both"/>
        <w:rPr>
          <w:rFonts w:ascii="Palatino Linotype" w:hAnsi="Palatino Linotype"/>
          <w:b/>
          <w:color w:val="000000"/>
        </w:rPr>
      </w:pPr>
      <w:r w:rsidRPr="00CC0DD7">
        <w:rPr>
          <w:rFonts w:ascii="Palatino Linotype" w:hAnsi="Palatino Linotype"/>
          <w:b/>
          <w:color w:val="000000"/>
        </w:rPr>
        <w:t xml:space="preserve">Source: </w:t>
      </w:r>
      <w:r w:rsidRPr="005C09F8">
        <w:rPr>
          <w:rFonts w:ascii="Palatino Linotype" w:hAnsi="Palatino Linotype"/>
          <w:b/>
          <w:color w:val="000000"/>
        </w:rPr>
        <w:t xml:space="preserve">SEBI/HO/MIRSD/CRADT/CIR/P/2020/254 </w:t>
      </w:r>
      <w:r w:rsidRPr="00CC0DD7">
        <w:rPr>
          <w:rFonts w:ascii="Palatino Linotype" w:hAnsi="Palatino Linotype"/>
          <w:b/>
          <w:color w:val="000000"/>
        </w:rPr>
        <w:t xml:space="preserve">  dated December </w:t>
      </w:r>
      <w:r>
        <w:rPr>
          <w:rFonts w:ascii="Palatino Linotype" w:hAnsi="Palatino Linotype"/>
          <w:b/>
          <w:color w:val="000000"/>
        </w:rPr>
        <w:t>3</w:t>
      </w:r>
      <w:r w:rsidRPr="00CC0DD7">
        <w:rPr>
          <w:rFonts w:ascii="Palatino Linotype" w:hAnsi="Palatino Linotype"/>
          <w:b/>
          <w:color w:val="000000"/>
        </w:rPr>
        <w:t>1, 2020</w:t>
      </w:r>
    </w:p>
    <w:p w:rsidR="00DD68D0" w:rsidRDefault="00DD68D0" w:rsidP="00DD68D0">
      <w:pPr>
        <w:jc w:val="both"/>
        <w:rPr>
          <w:rFonts w:ascii="Palatino Linotype" w:hAnsi="Palatino Linotype"/>
          <w:b/>
          <w:sz w:val="28"/>
          <w:szCs w:val="36"/>
          <w:u w:val="single"/>
        </w:rPr>
      </w:pPr>
    </w:p>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10</w:t>
      </w:r>
      <w:r w:rsidR="00DD68D0">
        <w:rPr>
          <w:rFonts w:ascii="Palatino Linotype" w:eastAsia="Calibri" w:hAnsi="Palatino Linotype"/>
          <w:b/>
          <w:color w:val="000000"/>
        </w:rPr>
        <w:t xml:space="preserve">.  </w:t>
      </w:r>
      <w:r w:rsidR="00DD68D0" w:rsidRPr="005C09F8">
        <w:rPr>
          <w:rFonts w:ascii="Palatino Linotype" w:eastAsia="Calibri" w:hAnsi="Palatino Linotype"/>
          <w:b/>
          <w:color w:val="000000"/>
        </w:rPr>
        <w:t xml:space="preserve">Relaxation in </w:t>
      </w:r>
      <w:r w:rsidR="00DD68D0">
        <w:rPr>
          <w:rFonts w:ascii="Palatino Linotype" w:eastAsia="Calibri" w:hAnsi="Palatino Linotype"/>
          <w:b/>
          <w:color w:val="000000"/>
        </w:rPr>
        <w:t>T</w:t>
      </w:r>
      <w:r w:rsidR="00DD68D0" w:rsidRPr="005C09F8">
        <w:rPr>
          <w:rFonts w:ascii="Palatino Linotype" w:eastAsia="Calibri" w:hAnsi="Palatino Linotype"/>
          <w:b/>
          <w:color w:val="000000"/>
        </w:rPr>
        <w:t xml:space="preserve">imelines for </w:t>
      </w:r>
      <w:r w:rsidR="00DD68D0">
        <w:rPr>
          <w:rFonts w:ascii="Palatino Linotype" w:eastAsia="Calibri" w:hAnsi="Palatino Linotype"/>
          <w:b/>
          <w:color w:val="000000"/>
        </w:rPr>
        <w:t>C</w:t>
      </w:r>
      <w:r w:rsidR="00DD68D0" w:rsidRPr="005C09F8">
        <w:rPr>
          <w:rFonts w:ascii="Palatino Linotype" w:eastAsia="Calibri" w:hAnsi="Palatino Linotype"/>
          <w:b/>
          <w:color w:val="000000"/>
        </w:rPr>
        <w:t xml:space="preserve">ompliance with </w:t>
      </w:r>
      <w:r w:rsidR="00DD68D0">
        <w:rPr>
          <w:rFonts w:ascii="Palatino Linotype" w:eastAsia="Calibri" w:hAnsi="Palatino Linotype"/>
          <w:b/>
          <w:color w:val="000000"/>
        </w:rPr>
        <w:t>R</w:t>
      </w:r>
      <w:r w:rsidR="00DD68D0" w:rsidRPr="005C09F8">
        <w:rPr>
          <w:rFonts w:ascii="Palatino Linotype" w:eastAsia="Calibri" w:hAnsi="Palatino Linotype"/>
          <w:b/>
          <w:color w:val="000000"/>
        </w:rPr>
        <w:t xml:space="preserve">egulatory </w:t>
      </w:r>
      <w:r w:rsidR="00DD68D0">
        <w:rPr>
          <w:rFonts w:ascii="Palatino Linotype" w:eastAsia="Calibri" w:hAnsi="Palatino Linotype"/>
          <w:b/>
          <w:color w:val="000000"/>
        </w:rPr>
        <w:t>T</w:t>
      </w:r>
      <w:r w:rsidR="00DD68D0" w:rsidRPr="005C09F8">
        <w:rPr>
          <w:rFonts w:ascii="Palatino Linotype" w:eastAsia="Calibri" w:hAnsi="Palatino Linotype"/>
          <w:b/>
          <w:color w:val="000000"/>
        </w:rPr>
        <w:t>imings</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Pr="005C09F8" w:rsidRDefault="00DD68D0" w:rsidP="00DD68D0">
      <w:pPr>
        <w:shd w:val="clear" w:color="auto" w:fill="FFFFFF"/>
        <w:spacing w:line="276" w:lineRule="auto"/>
        <w:jc w:val="both"/>
        <w:rPr>
          <w:rFonts w:ascii="Palatino Linotype" w:eastAsia="Calibri" w:hAnsi="Palatino Linotype"/>
          <w:bCs/>
          <w:color w:val="000000"/>
        </w:rPr>
      </w:pPr>
      <w:r w:rsidRPr="005C09F8">
        <w:rPr>
          <w:rFonts w:ascii="Palatino Linotype" w:eastAsia="Calibri" w:hAnsi="Palatino Linotype"/>
          <w:bCs/>
          <w:color w:val="000000"/>
        </w:rPr>
        <w:t>In view of the prevailing situation due to COVID-19 pandemic and representation received from the stock exchanges, the timelines for certain compliances with regulatory requirement has been extended as under:</w:t>
      </w:r>
    </w:p>
    <w:p w:rsidR="00DD68D0" w:rsidRPr="005C09F8"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i.</w:t>
      </w:r>
      <w:r w:rsidRPr="005C09F8">
        <w:rPr>
          <w:rFonts w:ascii="Palatino Linotype" w:eastAsia="Calibri" w:hAnsi="Palatino Linotype"/>
          <w:bCs/>
          <w:color w:val="000000"/>
        </w:rPr>
        <w:tab/>
        <w:t>The timeline for maintaining the call recordings of orders/instructions received from clients is extended up to February 28, 2021.</w:t>
      </w:r>
    </w:p>
    <w:p w:rsidR="00DD68D0" w:rsidRDefault="00DD68D0" w:rsidP="00DD68D0">
      <w:pPr>
        <w:shd w:val="clear" w:color="auto" w:fill="FFFFFF"/>
        <w:jc w:val="both"/>
        <w:rPr>
          <w:rFonts w:ascii="Palatino Linotype" w:eastAsia="Calibri" w:hAnsi="Palatino Linotype"/>
          <w:bCs/>
          <w:color w:val="000000"/>
        </w:rPr>
      </w:pPr>
    </w:p>
    <w:p w:rsidR="00DD68D0" w:rsidRPr="005C09F8"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ii.</w:t>
      </w:r>
      <w:r w:rsidRPr="005C09F8">
        <w:rPr>
          <w:rFonts w:ascii="Palatino Linotype" w:eastAsia="Calibri" w:hAnsi="Palatino Linotype"/>
          <w:bCs/>
          <w:color w:val="000000"/>
        </w:rPr>
        <w:tab/>
        <w:t>With regard to the upload of KYC application form and supporting documents of clients, the period of exclusion shall be from January 01, 2021 till February 28, 2021.</w:t>
      </w:r>
    </w:p>
    <w:p w:rsidR="00DD68D0" w:rsidRPr="005C09F8"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A 15-day time period after February 28, 2021 is allowed to clear the backlog.</w:t>
      </w:r>
    </w:p>
    <w:p w:rsidR="00DD68D0" w:rsidRPr="005C09F8" w:rsidRDefault="00DD68D0" w:rsidP="00DD68D0">
      <w:pPr>
        <w:shd w:val="clear" w:color="auto" w:fill="FFFFFF"/>
        <w:spacing w:line="276" w:lineRule="auto"/>
        <w:jc w:val="both"/>
        <w:rPr>
          <w:rFonts w:ascii="Palatino Linotype" w:eastAsia="Calibri" w:hAnsi="Palatino Linotype"/>
          <w:bCs/>
          <w:color w:val="000000"/>
        </w:rPr>
      </w:pPr>
    </w:p>
    <w:p w:rsidR="00DD68D0" w:rsidRDefault="00DD68D0" w:rsidP="00DD68D0">
      <w:pPr>
        <w:shd w:val="clear" w:color="auto" w:fill="FFFFFF"/>
        <w:spacing w:line="276" w:lineRule="auto"/>
        <w:jc w:val="both"/>
        <w:rPr>
          <w:rFonts w:ascii="Palatino Linotype" w:eastAsia="Calibri" w:hAnsi="Palatino Linotype"/>
          <w:bCs/>
          <w:color w:val="000000"/>
        </w:rPr>
      </w:pPr>
      <w:r w:rsidRPr="005C09F8">
        <w:rPr>
          <w:rFonts w:ascii="Palatino Linotype" w:eastAsia="Calibri" w:hAnsi="Palatino Linotype"/>
          <w:bCs/>
          <w:color w:val="000000"/>
        </w:rPr>
        <w:t>With regard to KYC application form and supporting documents of the clients to be uploaded on system of KRA by the members, stock exchanges / clearing corporation may ensure members to clear the backlog, if any, by January 31, 2021.</w:t>
      </w:r>
    </w:p>
    <w:p w:rsidR="00DD68D0" w:rsidRDefault="00DD68D0" w:rsidP="00DD68D0">
      <w:pPr>
        <w:shd w:val="clear" w:color="auto" w:fill="FFFFFF"/>
        <w:spacing w:line="276" w:lineRule="auto"/>
        <w:jc w:val="both"/>
        <w:rPr>
          <w:rFonts w:ascii="Palatino Linotype" w:hAnsi="Palatino Linotype"/>
          <w:b/>
          <w:color w:val="000000"/>
        </w:rPr>
      </w:pPr>
    </w:p>
    <w:p w:rsidR="00DD68D0" w:rsidRPr="00CC0DD7" w:rsidRDefault="00E11027" w:rsidP="00DD68D0">
      <w:pPr>
        <w:shd w:val="clear" w:color="auto" w:fill="FFFFFF"/>
        <w:spacing w:line="276" w:lineRule="auto"/>
        <w:jc w:val="both"/>
        <w:rPr>
          <w:rFonts w:ascii="Palatino Linotype" w:eastAsia="Calibri" w:hAnsi="Palatino Linotype"/>
          <w:b/>
          <w:color w:val="000000"/>
        </w:rPr>
      </w:pPr>
      <w:r>
        <w:rPr>
          <w:rFonts w:ascii="Palatino Linotype" w:eastAsia="Calibri" w:hAnsi="Palatino Linotype"/>
          <w:b/>
          <w:color w:val="000000"/>
        </w:rPr>
        <w:t>11</w:t>
      </w:r>
      <w:r w:rsidR="00DD68D0">
        <w:rPr>
          <w:rFonts w:ascii="Palatino Linotype" w:eastAsia="Calibri" w:hAnsi="Palatino Linotype"/>
          <w:b/>
          <w:color w:val="000000"/>
        </w:rPr>
        <w:t xml:space="preserve">.  </w:t>
      </w:r>
      <w:r w:rsidR="00DD68D0" w:rsidRPr="005C09F8">
        <w:rPr>
          <w:rFonts w:ascii="Palatino Linotype" w:eastAsia="Calibri" w:hAnsi="Palatino Linotype"/>
          <w:b/>
          <w:color w:val="000000"/>
        </w:rPr>
        <w:t>Procedural Guidelines for Proxy Advisors</w:t>
      </w:r>
    </w:p>
    <w:p w:rsidR="00DD68D0" w:rsidRPr="00CC0DD7" w:rsidRDefault="00DD68D0" w:rsidP="00DD68D0">
      <w:pPr>
        <w:shd w:val="clear" w:color="auto" w:fill="FFFFFF"/>
        <w:spacing w:line="276" w:lineRule="auto"/>
        <w:jc w:val="both"/>
        <w:rPr>
          <w:rFonts w:ascii="Palatino Linotype" w:eastAsia="Calibri" w:hAnsi="Palatino Linotype"/>
          <w:b/>
          <w:color w:val="000000"/>
        </w:rPr>
      </w:pPr>
    </w:p>
    <w:p w:rsidR="00DD68D0" w:rsidRPr="005C09F8" w:rsidRDefault="00DD68D0" w:rsidP="00DD68D0">
      <w:pPr>
        <w:shd w:val="clear" w:color="auto" w:fill="FFFFFF"/>
        <w:spacing w:line="276" w:lineRule="auto"/>
        <w:jc w:val="both"/>
        <w:rPr>
          <w:rFonts w:ascii="Palatino Linotype" w:eastAsia="Calibri" w:hAnsi="Palatino Linotype"/>
          <w:bCs/>
          <w:color w:val="000000"/>
        </w:rPr>
      </w:pPr>
      <w:r w:rsidRPr="005C09F8">
        <w:rPr>
          <w:rFonts w:ascii="Palatino Linotype" w:eastAsia="Calibri" w:hAnsi="Palatino Linotype"/>
          <w:bCs/>
          <w:color w:val="000000"/>
        </w:rPr>
        <w:t>SEBI circular (SEBI/HO/IMD/DF1/CIR/P/2020/147 dated August 03, 2020) related to the procedural guidelines for Proxy Advisors is partially modified as under:</w:t>
      </w:r>
    </w:p>
    <w:p w:rsidR="00DD68D0" w:rsidRPr="005C09F8" w:rsidRDefault="00DD68D0" w:rsidP="00DD68D0">
      <w:pPr>
        <w:shd w:val="clear" w:color="auto" w:fill="FFFFFF"/>
        <w:spacing w:line="276" w:lineRule="auto"/>
        <w:jc w:val="both"/>
        <w:rPr>
          <w:rFonts w:ascii="Palatino Linotype" w:eastAsia="Calibri" w:hAnsi="Palatino Linotype"/>
          <w:bCs/>
          <w:color w:val="000000"/>
        </w:rPr>
      </w:pPr>
    </w:p>
    <w:p w:rsidR="00DD68D0" w:rsidRPr="005C09F8"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I.</w:t>
      </w:r>
      <w:r w:rsidRPr="005C09F8">
        <w:rPr>
          <w:rFonts w:ascii="Palatino Linotype" w:eastAsia="Calibri" w:hAnsi="Palatino Linotype"/>
          <w:bCs/>
          <w:color w:val="000000"/>
        </w:rPr>
        <w:tab/>
        <w:t xml:space="preserve">Proxy advisors </w:t>
      </w:r>
      <w:r>
        <w:rPr>
          <w:rFonts w:ascii="Palatino Linotype" w:eastAsia="Calibri" w:hAnsi="Palatino Linotype"/>
          <w:bCs/>
          <w:color w:val="000000"/>
        </w:rPr>
        <w:t>are required to</w:t>
      </w:r>
      <w:r w:rsidRPr="005C09F8">
        <w:rPr>
          <w:rFonts w:ascii="Palatino Linotype" w:eastAsia="Calibri" w:hAnsi="Palatino Linotype"/>
          <w:bCs/>
          <w:color w:val="000000"/>
        </w:rPr>
        <w:t xml:space="preserve"> alert the clients about any factual errors and any impending material revision to their reports within 24 hours of receipt of information.</w:t>
      </w:r>
    </w:p>
    <w:p w:rsidR="00DD68D0" w:rsidRDefault="00DD68D0" w:rsidP="00DD68D0">
      <w:pPr>
        <w:shd w:val="clear" w:color="auto" w:fill="FFFFFF"/>
        <w:jc w:val="both"/>
        <w:rPr>
          <w:rFonts w:ascii="Palatino Linotype" w:eastAsia="Calibri" w:hAnsi="Palatino Linotype"/>
          <w:bCs/>
          <w:color w:val="000000"/>
        </w:rPr>
      </w:pPr>
    </w:p>
    <w:p w:rsidR="00DD68D0" w:rsidRDefault="00DD68D0" w:rsidP="00DD68D0">
      <w:pPr>
        <w:shd w:val="clear" w:color="auto" w:fill="FFFFFF"/>
        <w:jc w:val="both"/>
        <w:rPr>
          <w:rFonts w:ascii="Palatino Linotype" w:eastAsia="Calibri" w:hAnsi="Palatino Linotype"/>
          <w:bCs/>
          <w:color w:val="000000"/>
        </w:rPr>
      </w:pPr>
      <w:r w:rsidRPr="005C09F8">
        <w:rPr>
          <w:rFonts w:ascii="Palatino Linotype" w:eastAsia="Calibri" w:hAnsi="Palatino Linotype"/>
          <w:bCs/>
          <w:color w:val="000000"/>
        </w:rPr>
        <w:t>II.</w:t>
      </w:r>
      <w:r w:rsidRPr="005C09F8">
        <w:rPr>
          <w:rFonts w:ascii="Palatino Linotype" w:eastAsia="Calibri" w:hAnsi="Palatino Linotype"/>
          <w:bCs/>
          <w:color w:val="000000"/>
        </w:rPr>
        <w:tab/>
        <w:t>Further, any such material revision to their reports shall be communicated to the clients within 72 hours of receipt of the information, while ensuring that adequate time is available for clients to make informed decision.</w:t>
      </w:r>
    </w:p>
    <w:p w:rsidR="00DD68D0" w:rsidRPr="00CC0DD7" w:rsidRDefault="00DD68D0" w:rsidP="00DD68D0">
      <w:pPr>
        <w:shd w:val="clear" w:color="auto" w:fill="FFFFFF"/>
        <w:spacing w:line="276" w:lineRule="auto"/>
        <w:jc w:val="both"/>
        <w:rPr>
          <w:rFonts w:ascii="Palatino Linotype" w:hAnsi="Palatino Linotype"/>
          <w:b/>
          <w:color w:val="000000"/>
        </w:rPr>
      </w:pPr>
    </w:p>
    <w:p w:rsidR="00DD68D0" w:rsidRPr="00CC0DD7" w:rsidRDefault="00DD68D0" w:rsidP="00DD68D0">
      <w:pPr>
        <w:shd w:val="clear" w:color="auto" w:fill="FFFFFF"/>
        <w:spacing w:line="276" w:lineRule="auto"/>
        <w:jc w:val="both"/>
        <w:rPr>
          <w:rFonts w:ascii="Palatino Linotype" w:hAnsi="Palatino Linotype"/>
          <w:b/>
          <w:color w:val="000000"/>
        </w:rPr>
      </w:pPr>
      <w:r w:rsidRPr="00CC0DD7">
        <w:rPr>
          <w:rFonts w:ascii="Palatino Linotype" w:hAnsi="Palatino Linotype"/>
          <w:b/>
          <w:color w:val="000000"/>
        </w:rPr>
        <w:t xml:space="preserve">Source: </w:t>
      </w:r>
      <w:r w:rsidRPr="005C09F8">
        <w:rPr>
          <w:rFonts w:ascii="Palatino Linotype" w:hAnsi="Palatino Linotype"/>
          <w:b/>
          <w:color w:val="000000"/>
        </w:rPr>
        <w:t xml:space="preserve">SEBI/HO/IMD/DF1/CIR/P/2020/256 </w:t>
      </w:r>
      <w:r w:rsidRPr="00CC0DD7">
        <w:rPr>
          <w:rFonts w:ascii="Palatino Linotype" w:hAnsi="Palatino Linotype"/>
          <w:b/>
          <w:color w:val="000000"/>
        </w:rPr>
        <w:t xml:space="preserve">dated December </w:t>
      </w:r>
      <w:r>
        <w:rPr>
          <w:rFonts w:ascii="Palatino Linotype" w:hAnsi="Palatino Linotype"/>
          <w:b/>
          <w:color w:val="000000"/>
        </w:rPr>
        <w:t>3</w:t>
      </w:r>
      <w:r w:rsidRPr="00CC0DD7">
        <w:rPr>
          <w:rFonts w:ascii="Palatino Linotype" w:hAnsi="Palatino Linotype"/>
          <w:b/>
          <w:color w:val="000000"/>
        </w:rPr>
        <w:t>1, 2020</w:t>
      </w:r>
    </w:p>
    <w:p w:rsidR="00DD68D0" w:rsidRDefault="00DD68D0" w:rsidP="00E10EB8"/>
    <w:p w:rsidR="00272724" w:rsidRDefault="00DD68D0" w:rsidP="00A07B14">
      <w:pPr>
        <w:spacing w:after="120"/>
        <w:rPr>
          <w:rFonts w:ascii="Garamond" w:hAnsi="Garamond" w:cs="Arial"/>
          <w:i/>
          <w:szCs w:val="32"/>
        </w:rPr>
      </w:pPr>
      <w:r w:rsidRPr="008570C3">
        <w:rPr>
          <w:rFonts w:ascii="Garamond" w:hAnsi="Garamond" w:cs="Arial"/>
          <w:i/>
          <w:szCs w:val="32"/>
        </w:rPr>
        <w:t>Disclaimer: The summary has been prepared for the convenience of readers. In case of any ambiguity, please refer to the original circular.</w:t>
      </w:r>
    </w:p>
    <w:p w:rsidR="00092887" w:rsidRDefault="00092887">
      <w:pPr>
        <w:rPr>
          <w:rFonts w:ascii="Palatino Linotype" w:hAnsi="Palatino Linotype"/>
          <w:b/>
          <w:bCs/>
        </w:rPr>
      </w:pPr>
      <w:r>
        <w:rPr>
          <w:rFonts w:ascii="Palatino Linotype" w:hAnsi="Palatino Linotype"/>
          <w:b/>
          <w:bCs/>
        </w:rPr>
        <w:br w:type="page"/>
      </w:r>
    </w:p>
    <w:p w:rsidR="00A07B14" w:rsidRDefault="00A07B14" w:rsidP="00A07B14">
      <w:pPr>
        <w:spacing w:after="120"/>
        <w:rPr>
          <w:rFonts w:ascii="Palatino Linotype" w:hAnsi="Palatino Linotype"/>
          <w:b/>
          <w:bCs/>
        </w:rPr>
      </w:pP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272724" w:rsidRDefault="00272724" w:rsidP="00272724">
      <w:pPr>
        <w:rPr>
          <w:rFonts w:ascii="Palatino Linotype" w:hAnsi="Palatino Linotype"/>
          <w:b/>
          <w:sz w:val="40"/>
          <w:szCs w:val="40"/>
        </w:rPr>
      </w:pPr>
    </w:p>
    <w:p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rsidR="00A07B14" w:rsidRDefault="00A07B14" w:rsidP="00272724">
      <w:pPr>
        <w:rPr>
          <w:rFonts w:ascii="Palatino Linotype" w:hAnsi="Palatino Linotype"/>
          <w:b/>
        </w:rPr>
      </w:pPr>
    </w:p>
    <w:tbl>
      <w:tblPr>
        <w:tblW w:w="11057" w:type="dxa"/>
        <w:tblInd w:w="-431" w:type="dxa"/>
        <w:tblLayout w:type="fixed"/>
        <w:tblLook w:val="04A0" w:firstRow="1" w:lastRow="0" w:firstColumn="1" w:lastColumn="0" w:noHBand="0" w:noVBand="1"/>
      </w:tblPr>
      <w:tblGrid>
        <w:gridCol w:w="1418"/>
        <w:gridCol w:w="1701"/>
        <w:gridCol w:w="1134"/>
        <w:gridCol w:w="1560"/>
        <w:gridCol w:w="1984"/>
        <w:gridCol w:w="3260"/>
      </w:tblGrid>
      <w:tr w:rsidR="001D093A" w:rsidRPr="00CD53C2" w:rsidTr="001328D4">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93A" w:rsidRPr="00F9747C" w:rsidRDefault="001D093A" w:rsidP="001328D4">
            <w:pPr>
              <w:rPr>
                <w:rFonts w:ascii="Palatino Linotype" w:hAnsi="Palatino Linotype" w:cs="Calibri"/>
                <w:b/>
                <w:bCs/>
                <w:szCs w:val="22"/>
                <w:lang w:eastAsia="en-IN"/>
              </w:rPr>
            </w:pPr>
            <w:r w:rsidRPr="00F9747C">
              <w:rPr>
                <w:rFonts w:ascii="Palatino Linotype" w:hAnsi="Palatino Linotype" w:cs="Calibri"/>
                <w:b/>
                <w:bCs/>
                <w:szCs w:val="22"/>
                <w:lang w:eastAsia="en-IN"/>
              </w:rPr>
              <w:t>Date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1D093A" w:rsidRPr="00F9747C" w:rsidRDefault="001D093A" w:rsidP="001328D4">
            <w:pPr>
              <w:rPr>
                <w:rFonts w:ascii="Palatino Linotype" w:hAnsi="Palatino Linotype" w:cs="Calibri"/>
                <w:b/>
                <w:bCs/>
                <w:szCs w:val="22"/>
                <w:lang w:eastAsia="en-IN"/>
              </w:rPr>
            </w:pPr>
            <w:r w:rsidRPr="00F9747C">
              <w:rPr>
                <w:rFonts w:ascii="Palatino Linotype" w:hAnsi="Palatino Linotype" w:cs="Calibri"/>
                <w:b/>
                <w:bCs/>
                <w:szCs w:val="22"/>
                <w:lang w:eastAsia="en-IN"/>
              </w:rPr>
              <w:t>Case Name</w:t>
            </w:r>
          </w:p>
        </w:tc>
        <w:tc>
          <w:tcPr>
            <w:tcW w:w="1134" w:type="dxa"/>
            <w:tcBorders>
              <w:top w:val="single" w:sz="4" w:space="0" w:color="auto"/>
              <w:left w:val="nil"/>
              <w:bottom w:val="single" w:sz="4" w:space="0" w:color="auto"/>
              <w:right w:val="single" w:sz="4" w:space="0" w:color="auto"/>
            </w:tcBorders>
          </w:tcPr>
          <w:p w:rsidR="001D093A" w:rsidRPr="00F9747C" w:rsidRDefault="001D093A" w:rsidP="001328D4">
            <w:pPr>
              <w:jc w:val="right"/>
              <w:rPr>
                <w:rFonts w:ascii="Palatino Linotype" w:hAnsi="Palatino Linotype" w:cs="Calibri"/>
                <w:b/>
                <w:bCs/>
                <w:szCs w:val="22"/>
                <w:lang w:eastAsia="en-IN"/>
              </w:rPr>
            </w:pPr>
            <w:r w:rsidRPr="00F9747C">
              <w:rPr>
                <w:rFonts w:ascii="Palatino Linotype" w:hAnsi="Palatino Linotype" w:cs="Calibri"/>
                <w:b/>
                <w:bCs/>
                <w:szCs w:val="22"/>
                <w:lang w:eastAsia="en-IN"/>
              </w:rPr>
              <w:t>Action</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93A" w:rsidRPr="00F9747C" w:rsidRDefault="001D093A" w:rsidP="001328D4">
            <w:pPr>
              <w:jc w:val="right"/>
              <w:rPr>
                <w:rFonts w:ascii="Palatino Linotype" w:hAnsi="Palatino Linotype" w:cs="Calibri"/>
                <w:b/>
                <w:bCs/>
                <w:szCs w:val="22"/>
                <w:lang w:eastAsia="en-IN"/>
              </w:rPr>
            </w:pPr>
            <w:r w:rsidRPr="00F9747C">
              <w:rPr>
                <w:rFonts w:ascii="Palatino Linotype" w:hAnsi="Palatino Linotype" w:cs="Calibri"/>
                <w:b/>
                <w:bCs/>
                <w:szCs w:val="22"/>
                <w:lang w:eastAsia="en-IN"/>
              </w:rPr>
              <w:t>Penalty</w:t>
            </w:r>
            <w:r>
              <w:rPr>
                <w:rFonts w:ascii="Palatino Linotype" w:hAnsi="Palatino Linotype" w:cs="Calibri"/>
                <w:b/>
                <w:bCs/>
                <w:szCs w:val="22"/>
                <w:lang w:eastAsia="en-IN"/>
              </w:rPr>
              <w:t xml:space="preserve"> (</w:t>
            </w:r>
            <w:r w:rsidRPr="00B811D6">
              <w:rPr>
                <w:rFonts w:ascii="Rupee Foradian" w:hAnsi="Rupee Foradian" w:cs="Calibri"/>
                <w:b/>
                <w:bCs/>
                <w:szCs w:val="22"/>
                <w:lang w:eastAsia="en-IN"/>
              </w:rPr>
              <w:t>`</w:t>
            </w:r>
            <w:r>
              <w:rPr>
                <w:rFonts w:ascii="Palatino Linotype" w:hAnsi="Palatino Linotype" w:cs="Calibri"/>
                <w:b/>
                <w:bCs/>
                <w:szCs w:val="22"/>
                <w:lang w:eastAsia="en-IN"/>
              </w:rPr>
              <w:t>)</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D093A" w:rsidRPr="00F9747C" w:rsidRDefault="001D093A" w:rsidP="001328D4">
            <w:pPr>
              <w:rPr>
                <w:rFonts w:ascii="Palatino Linotype" w:hAnsi="Palatino Linotype" w:cs="Calibri"/>
                <w:b/>
                <w:bCs/>
                <w:szCs w:val="22"/>
                <w:lang w:eastAsia="en-IN"/>
              </w:rPr>
            </w:pPr>
            <w:r w:rsidRPr="00F9747C">
              <w:rPr>
                <w:rFonts w:ascii="Palatino Linotype" w:hAnsi="Palatino Linotype" w:cs="Calibri"/>
                <w:b/>
                <w:bCs/>
                <w:szCs w:val="22"/>
                <w:lang w:eastAsia="en-IN"/>
              </w:rPr>
              <w:t>Entity Name</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1D093A" w:rsidRPr="00F9747C" w:rsidRDefault="001D093A" w:rsidP="001328D4">
            <w:pPr>
              <w:rPr>
                <w:rFonts w:ascii="Palatino Linotype" w:hAnsi="Palatino Linotype" w:cs="Calibri"/>
                <w:b/>
                <w:bCs/>
                <w:szCs w:val="22"/>
                <w:lang w:eastAsia="en-IN"/>
              </w:rPr>
            </w:pPr>
            <w:r w:rsidRPr="00F9747C">
              <w:rPr>
                <w:rFonts w:ascii="Palatino Linotype" w:hAnsi="Palatino Linotype" w:cs="Calibri"/>
                <w:b/>
                <w:bCs/>
                <w:szCs w:val="22"/>
                <w:lang w:eastAsia="en-IN"/>
              </w:rPr>
              <w:t>VIOLATION</w:t>
            </w:r>
          </w:p>
        </w:tc>
      </w:tr>
      <w:tr w:rsidR="001D093A" w:rsidRPr="00A47D45" w:rsidTr="001328D4">
        <w:trPr>
          <w:trHeight w:val="9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02/12/2020</w:t>
            </w:r>
          </w:p>
        </w:tc>
        <w:tc>
          <w:tcPr>
            <w:tcW w:w="1701" w:type="dxa"/>
            <w:tcBorders>
              <w:top w:val="single" w:sz="4" w:space="0" w:color="auto"/>
              <w:left w:val="nil"/>
              <w:bottom w:val="single" w:sz="4" w:space="0" w:color="auto"/>
              <w:right w:val="single" w:sz="4" w:space="0" w:color="auto"/>
            </w:tcBorders>
            <w:shd w:val="clear" w:color="auto" w:fill="auto"/>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Mishka Finance and Trading Limited</w:t>
            </w:r>
          </w:p>
        </w:tc>
        <w:tc>
          <w:tcPr>
            <w:tcW w:w="1134" w:type="dxa"/>
            <w:tcBorders>
              <w:top w:val="single" w:sz="4" w:space="0" w:color="auto"/>
              <w:left w:val="nil"/>
              <w:bottom w:val="single" w:sz="4" w:space="0" w:color="auto"/>
              <w:right w:val="single" w:sz="4" w:space="0" w:color="auto"/>
            </w:tcBorders>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11B</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Nil</w:t>
            </w:r>
          </w:p>
          <w:p w:rsidR="001D093A" w:rsidRPr="00F9747C" w:rsidRDefault="001D093A" w:rsidP="001328D4">
            <w:pPr>
              <w:shd w:val="clear" w:color="auto" w:fill="FFFFFF"/>
              <w:jc w:val="center"/>
              <w:rPr>
                <w:rFonts w:ascii="Palatino Linotype" w:hAnsi="Palatino Linotype"/>
                <w:sz w:val="23"/>
                <w:szCs w:val="23"/>
                <w:lang w:eastAsia="en-IN"/>
              </w:rPr>
            </w:pPr>
          </w:p>
        </w:tc>
        <w:tc>
          <w:tcPr>
            <w:tcW w:w="1984" w:type="dxa"/>
            <w:tcBorders>
              <w:top w:val="single" w:sz="4" w:space="0" w:color="auto"/>
              <w:left w:val="nil"/>
              <w:bottom w:val="single" w:sz="4" w:space="0" w:color="auto"/>
              <w:right w:val="single" w:sz="4" w:space="0" w:color="auto"/>
            </w:tcBorders>
            <w:shd w:val="clear" w:color="auto" w:fill="auto"/>
            <w:noWrap/>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Pawan Darak and 57 Others</w:t>
            </w:r>
          </w:p>
          <w:p w:rsidR="001D093A" w:rsidRPr="00F9747C" w:rsidRDefault="001D093A" w:rsidP="001328D4">
            <w:pPr>
              <w:shd w:val="clear" w:color="auto" w:fill="FFFFFF"/>
              <w:rPr>
                <w:rFonts w:ascii="Palatino Linotype" w:hAnsi="Palatino Linotype"/>
                <w:sz w:val="23"/>
                <w:szCs w:val="23"/>
                <w:lang w:eastAsia="en-IN"/>
              </w:rPr>
            </w:pPr>
          </w:p>
        </w:tc>
        <w:tc>
          <w:tcPr>
            <w:tcW w:w="3260" w:type="dxa"/>
            <w:tcBorders>
              <w:top w:val="single" w:sz="4" w:space="0" w:color="auto"/>
              <w:left w:val="nil"/>
              <w:bottom w:val="single" w:sz="4" w:space="0" w:color="auto"/>
              <w:right w:val="single" w:sz="4" w:space="0" w:color="auto"/>
            </w:tcBorders>
            <w:shd w:val="clear" w:color="auto" w:fill="auto"/>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SEBI (Prohibition of Fraudulent and Unfair Trade Practices relating to Securities Market) Regulations, 2003</w:t>
            </w:r>
          </w:p>
        </w:tc>
      </w:tr>
      <w:tr w:rsidR="001D093A" w:rsidRPr="00A47D45" w:rsidTr="001328D4">
        <w:trPr>
          <w:trHeight w:val="9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03/12/2020</w:t>
            </w:r>
          </w:p>
        </w:tc>
        <w:tc>
          <w:tcPr>
            <w:tcW w:w="1701" w:type="dxa"/>
            <w:tcBorders>
              <w:top w:val="single" w:sz="4" w:space="0" w:color="auto"/>
              <w:left w:val="nil"/>
              <w:bottom w:val="single" w:sz="4" w:space="0" w:color="auto"/>
              <w:right w:val="single" w:sz="4" w:space="0" w:color="auto"/>
            </w:tcBorders>
            <w:shd w:val="clear" w:color="auto" w:fill="auto"/>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63 Moons Technologies</w:t>
            </w:r>
          </w:p>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 xml:space="preserve">Limited (Erstwhile Financial Technologies (India) Limited) </w:t>
            </w:r>
          </w:p>
          <w:p w:rsidR="001D093A" w:rsidRPr="00F9747C" w:rsidRDefault="001D093A" w:rsidP="001328D4">
            <w:pPr>
              <w:shd w:val="clear" w:color="auto" w:fill="FFFFFF"/>
              <w:rPr>
                <w:rFonts w:ascii="Palatino Linotype" w:hAnsi="Palatino Linotype"/>
                <w:sz w:val="23"/>
                <w:szCs w:val="23"/>
                <w:lang w:eastAsia="en-IN"/>
              </w:rPr>
            </w:pPr>
          </w:p>
        </w:tc>
        <w:tc>
          <w:tcPr>
            <w:tcW w:w="1134" w:type="dxa"/>
            <w:tcBorders>
              <w:top w:val="single" w:sz="4" w:space="0" w:color="auto"/>
              <w:left w:val="nil"/>
              <w:bottom w:val="single" w:sz="4" w:space="0" w:color="auto"/>
              <w:right w:val="single" w:sz="4" w:space="0" w:color="auto"/>
            </w:tcBorders>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Order</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Nil</w:t>
            </w:r>
          </w:p>
          <w:p w:rsidR="001D093A" w:rsidRPr="00F9747C" w:rsidRDefault="001D093A" w:rsidP="001328D4">
            <w:pPr>
              <w:shd w:val="clear" w:color="auto" w:fill="FFFFFF"/>
              <w:jc w:val="center"/>
              <w:rPr>
                <w:rFonts w:ascii="Palatino Linotype" w:hAnsi="Palatino Linotype"/>
                <w:sz w:val="23"/>
                <w:szCs w:val="23"/>
                <w:lang w:eastAsia="en-IN"/>
              </w:rPr>
            </w:pPr>
          </w:p>
        </w:tc>
        <w:tc>
          <w:tcPr>
            <w:tcW w:w="1984" w:type="dxa"/>
            <w:tcBorders>
              <w:top w:val="single" w:sz="4" w:space="0" w:color="auto"/>
              <w:left w:val="nil"/>
              <w:bottom w:val="single" w:sz="4" w:space="0" w:color="auto"/>
              <w:right w:val="single" w:sz="4" w:space="0" w:color="auto"/>
            </w:tcBorders>
            <w:shd w:val="clear" w:color="auto" w:fill="auto"/>
            <w:noWrap/>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63 Moons Technologies</w:t>
            </w:r>
          </w:p>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Limited</w:t>
            </w:r>
          </w:p>
        </w:tc>
        <w:tc>
          <w:tcPr>
            <w:tcW w:w="3260" w:type="dxa"/>
            <w:tcBorders>
              <w:top w:val="single" w:sz="4" w:space="0" w:color="auto"/>
              <w:left w:val="nil"/>
              <w:bottom w:val="single" w:sz="4" w:space="0" w:color="auto"/>
              <w:right w:val="single" w:sz="4" w:space="0" w:color="auto"/>
            </w:tcBorders>
            <w:shd w:val="clear" w:color="auto" w:fill="auto"/>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SEBI (STP Centralised Hub and STP Service Providers) Guidelines, 2004</w:t>
            </w:r>
          </w:p>
          <w:p w:rsidR="001D093A" w:rsidRPr="00F9747C" w:rsidRDefault="001D093A" w:rsidP="001328D4">
            <w:pPr>
              <w:shd w:val="clear" w:color="auto" w:fill="FFFFFF"/>
              <w:rPr>
                <w:rFonts w:ascii="Palatino Linotype" w:hAnsi="Palatino Linotype"/>
                <w:sz w:val="23"/>
                <w:szCs w:val="23"/>
                <w:lang w:eastAsia="en-IN"/>
              </w:rPr>
            </w:pPr>
          </w:p>
        </w:tc>
      </w:tr>
      <w:tr w:rsidR="001D093A" w:rsidRPr="00A47D45" w:rsidTr="001328D4">
        <w:trPr>
          <w:trHeight w:val="900"/>
        </w:trPr>
        <w:tc>
          <w:tcPr>
            <w:tcW w:w="1418" w:type="dxa"/>
            <w:tcBorders>
              <w:top w:val="nil"/>
              <w:left w:val="single" w:sz="4" w:space="0" w:color="auto"/>
              <w:bottom w:val="single" w:sz="4" w:space="0" w:color="auto"/>
              <w:right w:val="single" w:sz="4" w:space="0" w:color="auto"/>
            </w:tcBorders>
            <w:shd w:val="clear" w:color="auto" w:fill="auto"/>
            <w:noWrap/>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01/12/2020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Karuturi Global Limited</w:t>
            </w:r>
          </w:p>
        </w:tc>
        <w:tc>
          <w:tcPr>
            <w:tcW w:w="1134" w:type="dxa"/>
            <w:tcBorders>
              <w:top w:val="single" w:sz="4" w:space="0" w:color="auto"/>
              <w:left w:val="nil"/>
              <w:bottom w:val="single" w:sz="4" w:space="0" w:color="auto"/>
              <w:right w:val="single" w:sz="4" w:space="0" w:color="auto"/>
            </w:tcBorders>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Adj.</w:t>
            </w:r>
          </w:p>
        </w:tc>
        <w:tc>
          <w:tcPr>
            <w:tcW w:w="1560" w:type="dxa"/>
            <w:tcBorders>
              <w:top w:val="nil"/>
              <w:left w:val="single" w:sz="4" w:space="0" w:color="auto"/>
              <w:bottom w:val="single" w:sz="4" w:space="0" w:color="auto"/>
              <w:right w:val="single" w:sz="4" w:space="0" w:color="auto"/>
            </w:tcBorders>
            <w:shd w:val="clear" w:color="auto" w:fill="auto"/>
            <w:noWrap/>
            <w:hideMark/>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4</w:t>
            </w:r>
            <w:r>
              <w:rPr>
                <w:rFonts w:ascii="Palatino Linotype" w:hAnsi="Palatino Linotype"/>
                <w:sz w:val="23"/>
                <w:szCs w:val="23"/>
                <w:lang w:eastAsia="en-IN"/>
              </w:rPr>
              <w:t>,</w:t>
            </w:r>
            <w:r w:rsidRPr="00F9747C">
              <w:rPr>
                <w:rFonts w:ascii="Palatino Linotype" w:hAnsi="Palatino Linotype"/>
                <w:sz w:val="23"/>
                <w:szCs w:val="23"/>
                <w:lang w:eastAsia="en-IN"/>
              </w:rPr>
              <w:t>00</w:t>
            </w:r>
            <w:r>
              <w:rPr>
                <w:rFonts w:ascii="Palatino Linotype" w:hAnsi="Palatino Linotype"/>
                <w:sz w:val="23"/>
                <w:szCs w:val="23"/>
                <w:lang w:eastAsia="en-IN"/>
              </w:rPr>
              <w:t>,</w:t>
            </w:r>
            <w:r w:rsidRPr="00F9747C">
              <w:rPr>
                <w:rFonts w:ascii="Palatino Linotype" w:hAnsi="Palatino Linotype"/>
                <w:sz w:val="23"/>
                <w:szCs w:val="23"/>
                <w:lang w:eastAsia="en-IN"/>
              </w:rPr>
              <w:t>000</w:t>
            </w:r>
          </w:p>
        </w:tc>
        <w:tc>
          <w:tcPr>
            <w:tcW w:w="1984" w:type="dxa"/>
            <w:tcBorders>
              <w:top w:val="nil"/>
              <w:left w:val="nil"/>
              <w:bottom w:val="single" w:sz="4" w:space="0" w:color="auto"/>
              <w:right w:val="single" w:sz="4" w:space="0" w:color="auto"/>
            </w:tcBorders>
            <w:shd w:val="clear" w:color="auto" w:fill="auto"/>
            <w:noWrap/>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Rays Global Corporation; Maxworth Investment Limited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SEBI (Substantial Acquisition of Shares and Takeovers) Regulations, 2011 -Disclosures</w:t>
            </w:r>
          </w:p>
        </w:tc>
      </w:tr>
      <w:tr w:rsidR="001D093A" w:rsidRPr="00A47D45" w:rsidTr="001328D4">
        <w:trPr>
          <w:trHeight w:val="9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04/12/2020</w:t>
            </w:r>
          </w:p>
        </w:tc>
        <w:tc>
          <w:tcPr>
            <w:tcW w:w="1701"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U.P. Power Corporation Limited</w:t>
            </w:r>
          </w:p>
        </w:tc>
        <w:tc>
          <w:tcPr>
            <w:tcW w:w="1134" w:type="dxa"/>
            <w:tcBorders>
              <w:top w:val="single" w:sz="4" w:space="0" w:color="auto"/>
              <w:left w:val="nil"/>
              <w:bottom w:val="single" w:sz="4" w:space="0" w:color="auto"/>
              <w:right w:val="single" w:sz="4" w:space="0" w:color="auto"/>
            </w:tcBorders>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Adj.</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D093A" w:rsidRPr="00F9747C" w:rsidRDefault="001D093A" w:rsidP="001328D4">
            <w:pPr>
              <w:shd w:val="clear" w:color="auto" w:fill="FFFFFF"/>
              <w:jc w:val="center"/>
              <w:rPr>
                <w:rFonts w:ascii="Palatino Linotype" w:hAnsi="Palatino Linotype"/>
                <w:sz w:val="23"/>
                <w:szCs w:val="23"/>
                <w:lang w:eastAsia="en-IN"/>
              </w:rPr>
            </w:pPr>
            <w:r w:rsidRPr="00F9747C">
              <w:rPr>
                <w:rFonts w:ascii="Palatino Linotype" w:hAnsi="Palatino Linotype"/>
                <w:sz w:val="23"/>
                <w:szCs w:val="23"/>
                <w:lang w:eastAsia="en-IN"/>
              </w:rPr>
              <w:t>2</w:t>
            </w:r>
            <w:r>
              <w:rPr>
                <w:rFonts w:ascii="Palatino Linotype" w:hAnsi="Palatino Linotype"/>
                <w:sz w:val="23"/>
                <w:szCs w:val="23"/>
                <w:lang w:eastAsia="en-IN"/>
              </w:rPr>
              <w:t>,</w:t>
            </w:r>
            <w:r w:rsidRPr="00F9747C">
              <w:rPr>
                <w:rFonts w:ascii="Palatino Linotype" w:hAnsi="Palatino Linotype"/>
                <w:sz w:val="23"/>
                <w:szCs w:val="23"/>
                <w:lang w:eastAsia="en-IN"/>
              </w:rPr>
              <w:t>00</w:t>
            </w:r>
            <w:r>
              <w:rPr>
                <w:rFonts w:ascii="Palatino Linotype" w:hAnsi="Palatino Linotype"/>
                <w:sz w:val="23"/>
                <w:szCs w:val="23"/>
                <w:lang w:eastAsia="en-IN"/>
              </w:rPr>
              <w:t>,</w:t>
            </w:r>
            <w:r w:rsidRPr="00F9747C">
              <w:rPr>
                <w:rFonts w:ascii="Palatino Linotype" w:hAnsi="Palatino Linotype"/>
                <w:sz w:val="23"/>
                <w:szCs w:val="23"/>
                <w:lang w:eastAsia="en-IN"/>
              </w:rPr>
              <w:t>000</w:t>
            </w:r>
          </w:p>
        </w:tc>
        <w:tc>
          <w:tcPr>
            <w:tcW w:w="1984" w:type="dxa"/>
            <w:tcBorders>
              <w:top w:val="single" w:sz="4" w:space="0" w:color="auto"/>
              <w:left w:val="nil"/>
              <w:bottom w:val="single" w:sz="4" w:space="0" w:color="auto"/>
              <w:right w:val="single" w:sz="4" w:space="0" w:color="auto"/>
            </w:tcBorders>
            <w:shd w:val="clear" w:color="auto" w:fill="auto"/>
            <w:noWrap/>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U.P. Power Corporation Limited</w:t>
            </w:r>
          </w:p>
        </w:tc>
        <w:tc>
          <w:tcPr>
            <w:tcW w:w="3260"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shd w:val="clear" w:color="auto" w:fill="FFFFFF"/>
              <w:rPr>
                <w:rFonts w:ascii="Palatino Linotype" w:hAnsi="Palatino Linotype"/>
                <w:sz w:val="23"/>
                <w:szCs w:val="23"/>
                <w:lang w:eastAsia="en-IN"/>
              </w:rPr>
            </w:pPr>
            <w:r w:rsidRPr="00F9747C">
              <w:rPr>
                <w:rFonts w:ascii="Palatino Linotype" w:hAnsi="Palatino Linotype"/>
                <w:sz w:val="23"/>
                <w:szCs w:val="23"/>
                <w:lang w:eastAsia="en-IN"/>
              </w:rPr>
              <w:t>SEBI (Listing Obligations and Disclosure Requirements) Regulations, 2015 –Disclosures</w:t>
            </w:r>
          </w:p>
        </w:tc>
      </w:tr>
      <w:tr w:rsidR="001D093A" w:rsidRPr="00C86FC0" w:rsidTr="001328D4">
        <w:trPr>
          <w:trHeight w:val="18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Gold Crude Research</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Gold Crude Research and its Proprietor, Ramnarayan Sharma</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SEBI (Prohibition of Fraudulent and Unfair Trade Practices relating to Securities Market) Regulations, 2003, </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Section 12(1) of SEBI Act read with Regulation 3(1) of the SEBI (Investment Advisor) Regulations </w:t>
            </w:r>
          </w:p>
        </w:tc>
      </w:tr>
      <w:tr w:rsidR="001D093A" w:rsidRPr="00C86FC0" w:rsidTr="001328D4">
        <w:trPr>
          <w:trHeight w:val="1815"/>
        </w:trPr>
        <w:tc>
          <w:tcPr>
            <w:tcW w:w="1418" w:type="dxa"/>
            <w:tcBorders>
              <w:top w:val="nil"/>
              <w:left w:val="single" w:sz="8" w:space="0" w:color="auto"/>
              <w:bottom w:val="single" w:sz="8" w:space="0" w:color="auto"/>
              <w:right w:val="single" w:sz="8" w:space="0" w:color="auto"/>
            </w:tcBorders>
            <w:shd w:val="clear" w:color="auto" w:fill="auto"/>
            <w:noWrap/>
            <w:vAlign w:val="center"/>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3M Team Securities Services Pvt. Ltd.</w:t>
            </w:r>
          </w:p>
        </w:tc>
        <w:tc>
          <w:tcPr>
            <w:tcW w:w="1134"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tcPr>
          <w:p w:rsidR="001D093A" w:rsidRPr="00F9747C" w:rsidRDefault="001D093A" w:rsidP="001328D4">
            <w:pPr>
              <w:jc w:val="right"/>
              <w:rPr>
                <w:rFonts w:ascii="Palatino Linotype" w:hAnsi="Palatino Linotype" w:cs="Calibri"/>
                <w:color w:val="000000"/>
                <w:szCs w:val="22"/>
                <w:lang w:eastAsia="en-IN"/>
              </w:rPr>
            </w:pPr>
          </w:p>
        </w:tc>
        <w:tc>
          <w:tcPr>
            <w:tcW w:w="1984"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3M Team Securities Services Pvt. Ltd. And its directors Rakesh Sethi and Pramod jain</w:t>
            </w:r>
          </w:p>
        </w:tc>
        <w:tc>
          <w:tcPr>
            <w:tcW w:w="3260"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Arial"/>
                <w:sz w:val="23"/>
                <w:szCs w:val="23"/>
                <w:lang w:eastAsia="en-IN"/>
              </w:rPr>
            </w:pPr>
            <w:r w:rsidRPr="00F9747C">
              <w:rPr>
                <w:rFonts w:ascii="Palatino Linotype" w:hAnsi="Palatino Linotype" w:cs="Calibri"/>
                <w:color w:val="000000"/>
                <w:szCs w:val="22"/>
                <w:lang w:eastAsia="en-IN"/>
              </w:rPr>
              <w:t>Confirmatory order</w:t>
            </w:r>
            <w:r w:rsidRPr="00F9747C">
              <w:rPr>
                <w:rFonts w:ascii="Palatino Linotype" w:hAnsi="Palatino Linotype" w:cs="Arial"/>
                <w:sz w:val="23"/>
                <w:szCs w:val="23"/>
                <w:lang w:eastAsia="en-IN"/>
              </w:rPr>
              <w:t>- Section 12A(a),(b) and (c) of the SEBI Act, 1992, and Regulations 3 (a), (b), (c) and (d) and 4(1) of the PFUTP</w:t>
            </w:r>
          </w:p>
          <w:p w:rsidR="001D093A" w:rsidRPr="00F9747C" w:rsidRDefault="001D093A" w:rsidP="001328D4">
            <w:pPr>
              <w:rPr>
                <w:rFonts w:ascii="Palatino Linotype" w:hAnsi="Palatino Linotype" w:cs="Arial"/>
                <w:sz w:val="23"/>
                <w:szCs w:val="23"/>
                <w:lang w:eastAsia="en-IN"/>
              </w:rPr>
            </w:pPr>
            <w:r w:rsidRPr="00F9747C">
              <w:rPr>
                <w:rFonts w:ascii="Palatino Linotype" w:hAnsi="Palatino Linotype" w:cs="Arial"/>
                <w:sz w:val="23"/>
                <w:szCs w:val="23"/>
                <w:lang w:eastAsia="en-IN"/>
              </w:rPr>
              <w:t>Regulations</w:t>
            </w:r>
          </w:p>
          <w:p w:rsidR="001D093A" w:rsidRPr="00F9747C" w:rsidRDefault="001D093A" w:rsidP="001328D4">
            <w:pPr>
              <w:rPr>
                <w:rFonts w:ascii="Palatino Linotype" w:hAnsi="Palatino Linotype" w:cs="Calibri"/>
                <w:color w:val="000000"/>
                <w:szCs w:val="22"/>
                <w:lang w:eastAsia="en-IN"/>
              </w:rPr>
            </w:pPr>
          </w:p>
        </w:tc>
      </w:tr>
      <w:tr w:rsidR="001D093A" w:rsidRPr="00C86FC0"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Minance Technologies Private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Minance Technologies Private Limited; </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Anurag Bhatia; Adhiraj Singh; Soham Soumya Sarkar</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 of SEBI (Portfolio Managers) Regulations, 1993</w:t>
            </w:r>
          </w:p>
        </w:tc>
      </w:tr>
      <w:tr w:rsidR="001D093A" w:rsidRPr="00C86FC0" w:rsidTr="001328D4">
        <w:trPr>
          <w:trHeight w:val="12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Eprofitzone Fincap Consultant Private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Eprofitzone Fincap Consultant Private Limited; Ajit Kumar; and Prakash Kumar</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3(1) of SEBI (Investment Advisers) Regulations, 2013</w:t>
            </w:r>
          </w:p>
        </w:tc>
      </w:tr>
      <w:tr w:rsidR="001D093A" w:rsidRPr="00C86FC0"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Always Gain Advisory Service</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Always Gain Advisory Service and its partners (current and past)-  M Ashok Kumar, S Ramakrishnan and G Manohari</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3(1) of SEBI (Investment Advisers) Regulations, 2013</w:t>
            </w:r>
          </w:p>
        </w:tc>
      </w:tr>
      <w:tr w:rsidR="001D093A" w:rsidRPr="00C86FC0" w:rsidTr="001328D4">
        <w:trPr>
          <w:trHeight w:val="12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Hybrid Research Advisory Services</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Hybrid Research Advisory Services and its proprietor,  Nikhil Kumar</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3(1) of SEBI (Investment Advisers) Regulations, 2013, provisions of sections 12A 9a), (b), (c) of SEBI Act and Regulations 3(a), (b), (c), (d) and regulations 4(1) and 4(2)(k) of SEBI (PFUTP) Regulations.</w:t>
            </w:r>
          </w:p>
        </w:tc>
      </w:tr>
      <w:tr w:rsidR="001D093A" w:rsidRPr="00C86FC0" w:rsidTr="001328D4">
        <w:trPr>
          <w:trHeight w:val="18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07/12/2020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Right Target Advisory Service</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Right Target Advisory Service, </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M Ashok Kumar,</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 D Saravanan,</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 D Muruganand,</w:t>
            </w:r>
          </w:p>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 D kumar</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3(1) of SEBI (Investment Advisers) Regulations, 2013</w:t>
            </w:r>
          </w:p>
        </w:tc>
      </w:tr>
      <w:tr w:rsidR="001D093A" w:rsidRPr="00C86FC0"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08/12/2020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Vinayak Homes and Real Estate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Adj</w:t>
            </w:r>
            <w:r>
              <w:rPr>
                <w:rFonts w:ascii="Palatino Linotype" w:hAnsi="Palatino Linotype" w:cs="Calibri"/>
                <w:color w:val="000000"/>
                <w:szCs w:val="22"/>
                <w:lang w:eastAsia="en-IN"/>
              </w:rPr>
              <w:t>.</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60,00,000</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Jointly and severally on Jitendra Bisay; Phool Chand Bisay; Vinayak Homes &amp; Real Estate Limited; Yogendra Bisay; Yuvraj</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Regulation 4(2)(t) of SEBI (Prohibition of Fraudulent and Unfair Trade Practices relating to Securities Market) Regulations, 2003</w:t>
            </w:r>
          </w:p>
        </w:tc>
      </w:tr>
      <w:tr w:rsidR="001D093A" w:rsidRPr="00C86FC0"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vAlign w:val="center"/>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08/12/2020</w:t>
            </w:r>
          </w:p>
        </w:tc>
        <w:tc>
          <w:tcPr>
            <w:tcW w:w="1701"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Indiabulls Housing Finance Ltd.</w:t>
            </w:r>
          </w:p>
        </w:tc>
        <w:tc>
          <w:tcPr>
            <w:tcW w:w="1134"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Exemption to proposed acquirer</w:t>
            </w:r>
          </w:p>
        </w:tc>
        <w:tc>
          <w:tcPr>
            <w:tcW w:w="1560" w:type="dxa"/>
            <w:tcBorders>
              <w:top w:val="nil"/>
              <w:left w:val="nil"/>
              <w:bottom w:val="single" w:sz="8" w:space="0" w:color="auto"/>
              <w:right w:val="single" w:sz="8"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Proposed Acquirer Sameer Gehlaut IBH Trust</w:t>
            </w:r>
          </w:p>
        </w:tc>
        <w:tc>
          <w:tcPr>
            <w:tcW w:w="3260" w:type="dxa"/>
            <w:tcBorders>
              <w:top w:val="nil"/>
              <w:left w:val="nil"/>
              <w:bottom w:val="single" w:sz="8" w:space="0" w:color="auto"/>
              <w:right w:val="single" w:sz="8" w:space="0" w:color="auto"/>
            </w:tcBorders>
            <w:shd w:val="clear" w:color="auto" w:fill="auto"/>
            <w:vAlign w:val="center"/>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Exemption from complying with the requirements of regulation 4 of the Takeover Regulations 2011</w:t>
            </w:r>
          </w:p>
        </w:tc>
      </w:tr>
      <w:tr w:rsidR="001D093A" w:rsidRPr="00C86FC0" w:rsidTr="001328D4">
        <w:trPr>
          <w:trHeight w:val="9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09/12/2020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KLG Capital Services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2,54,636</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Hemant Patel and Hemant Patel</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SEBI (Prohibition of Insider Trading) Regulations, 2015</w:t>
            </w:r>
          </w:p>
        </w:tc>
      </w:tr>
      <w:tr w:rsidR="001D093A" w:rsidRPr="00C86FC0" w:rsidTr="001328D4">
        <w:trPr>
          <w:trHeight w:val="12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09/12/2020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Profit Mount Advisory Service</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Profit Mount Advisory Service (Prop: M Ashok Kumar)</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Section 12(1) of SEBI Act read with Regulation 3(1) of SEBI (Investment Advisers) Regulations, 2013</w:t>
            </w:r>
          </w:p>
        </w:tc>
      </w:tr>
      <w:tr w:rsidR="001D093A" w:rsidRPr="00C86FC0" w:rsidTr="001328D4">
        <w:trPr>
          <w:trHeight w:val="24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10/12/2020</w:t>
            </w:r>
          </w:p>
          <w:p w:rsidR="001D093A" w:rsidRDefault="001D093A" w:rsidP="001328D4">
            <w:pPr>
              <w:rPr>
                <w:rFonts w:ascii="Palatino Linotype" w:hAnsi="Palatino Linotype" w:cs="Calibri"/>
                <w:szCs w:val="22"/>
                <w:lang w:eastAsia="en-IN"/>
              </w:rPr>
            </w:pPr>
          </w:p>
          <w:p w:rsidR="001D093A" w:rsidRPr="00BF7418" w:rsidRDefault="001D093A" w:rsidP="001328D4">
            <w:pPr>
              <w:rPr>
                <w:rFonts w:ascii="Palatino Linotype" w:hAnsi="Palatino Linotype" w:cs="Calibri"/>
                <w:szCs w:val="22"/>
                <w:lang w:eastAsia="en-IN"/>
              </w:rPr>
            </w:pP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Acumen Capital Market India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Adj</w:t>
            </w:r>
            <w:r>
              <w:rPr>
                <w:rFonts w:ascii="Palatino Linotype" w:hAnsi="Palatino Linotype" w:cs="Calibri"/>
                <w:color w:val="000000"/>
                <w:szCs w:val="22"/>
                <w:lang w:eastAsia="en-IN"/>
              </w:rPr>
              <w:t>.</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5,00,000</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Acumen Capital Market India Limited</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Regulation 43 of SEBI (Depositories &amp; Participants) regulations, 1996, SEBI circular no. MRD/DP/01/2014 dated January 07, 2014, SEBI Master circular no. MRD/DP/P/2016/134 dated December 15, 2016, MIRSD/5/2012 dated April 13, 2012 read with SEBI circular no. MIRSD/cir-26/2011 dated December 23, 2011, MIRSD/66/2016 dated July 21, 2016, MIRSD/DOP1/P/CIR/P/2-18/54 dated March 22, 2018, DNPD/7/2011 dated August 10, 2011, MIRSD/SE/Cir- 19/2009 dated December 03, 2009, section 23D of SCRA read with clause 1 of Annexure of SEBI circular no. SMD/SED/CIR/93/23321 dated November 18, 1993 and clause 3 of Annexure to circular no. MIRSD/CIR/P/2016/95 dated September 26, 2016, </w:t>
            </w:r>
            <w:r w:rsidRPr="00F9747C">
              <w:rPr>
                <w:rFonts w:ascii="Palatino Linotype" w:hAnsi="Palatino Linotype" w:cs="Calibri"/>
                <w:color w:val="000000"/>
                <w:szCs w:val="22"/>
                <w:lang w:eastAsia="en-IN"/>
              </w:rPr>
              <w:br/>
            </w:r>
            <w:r w:rsidRPr="00F9747C">
              <w:rPr>
                <w:rFonts w:ascii="Palatino Linotype" w:hAnsi="Palatino Linotype" w:cs="Calibri"/>
                <w:color w:val="000000"/>
                <w:szCs w:val="22"/>
                <w:lang w:eastAsia="en-IN"/>
              </w:rPr>
              <w:br/>
            </w:r>
          </w:p>
        </w:tc>
      </w:tr>
      <w:tr w:rsidR="001D093A" w:rsidRPr="00C86FC0" w:rsidTr="001328D4">
        <w:trPr>
          <w:trHeight w:val="15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1D093A" w:rsidRPr="00F9747C" w:rsidRDefault="001D093A" w:rsidP="001328D4">
            <w:pPr>
              <w:jc w:val="right"/>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11/12/2020</w:t>
            </w:r>
          </w:p>
        </w:tc>
        <w:tc>
          <w:tcPr>
            <w:tcW w:w="1701"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Divis Laboratories Limited</w:t>
            </w:r>
          </w:p>
        </w:tc>
        <w:tc>
          <w:tcPr>
            <w:tcW w:w="113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11B</w:t>
            </w:r>
          </w:p>
        </w:tc>
        <w:tc>
          <w:tcPr>
            <w:tcW w:w="1560" w:type="dxa"/>
            <w:tcBorders>
              <w:top w:val="nil"/>
              <w:left w:val="nil"/>
              <w:bottom w:val="single" w:sz="8" w:space="0" w:color="auto"/>
              <w:right w:val="single" w:sz="8"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12,83,000</w:t>
            </w:r>
          </w:p>
        </w:tc>
        <w:tc>
          <w:tcPr>
            <w:tcW w:w="1984"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Srinivas Maddineni</w:t>
            </w:r>
          </w:p>
        </w:tc>
        <w:tc>
          <w:tcPr>
            <w:tcW w:w="3260" w:type="dxa"/>
            <w:tcBorders>
              <w:top w:val="nil"/>
              <w:left w:val="nil"/>
              <w:bottom w:val="single" w:sz="8" w:space="0" w:color="auto"/>
              <w:right w:val="single" w:sz="8" w:space="0" w:color="auto"/>
            </w:tcBorders>
            <w:shd w:val="clear" w:color="auto" w:fill="auto"/>
            <w:vAlign w:val="center"/>
            <w:hideMark/>
          </w:tcPr>
          <w:p w:rsidR="001D093A" w:rsidRPr="00F9747C" w:rsidRDefault="001D093A" w:rsidP="001328D4">
            <w:pP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SEBI (Prohibition of Insider Trading) Regulations, 2015-Disclosures,Insider Trading, Code of conduct</w:t>
            </w:r>
          </w:p>
        </w:tc>
      </w:tr>
      <w:tr w:rsidR="001D093A" w:rsidRPr="00F9747C"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18/12/2020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Acropetal Technologies Ltd.</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Adj</w:t>
            </w:r>
            <w:r>
              <w:rPr>
                <w:rFonts w:ascii="Palatino Linotype" w:hAnsi="Palatino Linotype" w:cs="Calibri"/>
                <w:color w:val="000000"/>
                <w:szCs w:val="22"/>
              </w:rPr>
              <w:t>.</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5,00,000</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Saffron Capital Advisors Pvt. Ltd.</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Regulations 60(7)(a) and 64(1) of SEBI (Issue of  Capital  and  Disclosure  Requirements)  Regulations,  2009 &amp; Regulation 13 r/w clause 1, 2, 3, 4, 5, 6, 7 and 20 of the Code of Conduct for merchant bankers  as specified in SEBI  (Merchant  Bankers) Regulations,  1992</w:t>
            </w:r>
          </w:p>
        </w:tc>
      </w:tr>
      <w:tr w:rsidR="001D093A" w:rsidRPr="00F9747C" w:rsidTr="001328D4">
        <w:trPr>
          <w:trHeight w:val="121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16/12/2020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Birla Pacific Medspa Ltd</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Adj</w:t>
            </w:r>
            <w:r>
              <w:rPr>
                <w:rFonts w:ascii="Palatino Linotype" w:hAnsi="Palatino Linotype" w:cs="Calibri"/>
                <w:color w:val="000000"/>
                <w:szCs w:val="22"/>
              </w:rPr>
              <w:t>.</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3,00,000</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Silver Stallion Ltd</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Regulation 13(1)  of  the  SEBI  ( Prohibition  of  Insider  Trading) Regulations,   1992 ( PIT  Regulations ) and  Regulation  7(1)  of  the  SEBI( Substantial Acquisition of  Shares  and Takeovers)  Regulations,  1997  </w:t>
            </w:r>
          </w:p>
        </w:tc>
      </w:tr>
      <w:tr w:rsidR="001D093A" w:rsidRPr="00F9747C" w:rsidTr="001328D4">
        <w:trPr>
          <w:trHeight w:val="211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15/12/2020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Synergy Bizcon Limited</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Adj</w:t>
            </w:r>
            <w:r>
              <w:rPr>
                <w:rFonts w:ascii="Palatino Linotype" w:hAnsi="Palatino Linotype" w:cs="Calibri"/>
                <w:color w:val="000000"/>
                <w:szCs w:val="22"/>
              </w:rPr>
              <w:t>.</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1,58,00,000</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Jinesh Bhatt and Others</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Provisions if regulations 3(a), (b), (c), (d), 4(1), 4(2)(a), € and (g) of SEBI(Prohibition of Fraudulent and Unfair Trade  practices relating to securities Market(PFUTP Regulations)-Sec 12A(a)(b) &amp; (c) of SEBI Act,1992.</w:t>
            </w:r>
          </w:p>
        </w:tc>
      </w:tr>
      <w:tr w:rsidR="001D093A" w:rsidRPr="00F9747C" w:rsidTr="001328D4">
        <w:trPr>
          <w:trHeight w:val="1815"/>
        </w:trPr>
        <w:tc>
          <w:tcPr>
            <w:tcW w:w="1418" w:type="dxa"/>
            <w:tcBorders>
              <w:top w:val="nil"/>
              <w:left w:val="single" w:sz="8" w:space="0" w:color="auto"/>
              <w:bottom w:val="single" w:sz="4"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16/12/2020</w:t>
            </w:r>
          </w:p>
        </w:tc>
        <w:tc>
          <w:tcPr>
            <w:tcW w:w="1701" w:type="dxa"/>
            <w:tcBorders>
              <w:top w:val="nil"/>
              <w:left w:val="nil"/>
              <w:bottom w:val="single" w:sz="4"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Sinew Developers Private Limited</w:t>
            </w:r>
          </w:p>
        </w:tc>
        <w:tc>
          <w:tcPr>
            <w:tcW w:w="1134" w:type="dxa"/>
            <w:tcBorders>
              <w:top w:val="nil"/>
              <w:left w:val="nil"/>
              <w:bottom w:val="single" w:sz="4"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Adj</w:t>
            </w:r>
            <w:r>
              <w:rPr>
                <w:rFonts w:ascii="Palatino Linotype" w:hAnsi="Palatino Linotype" w:cs="Calibri"/>
                <w:color w:val="000000"/>
                <w:szCs w:val="22"/>
              </w:rPr>
              <w:t>.</w:t>
            </w:r>
          </w:p>
        </w:tc>
        <w:tc>
          <w:tcPr>
            <w:tcW w:w="1560" w:type="dxa"/>
            <w:tcBorders>
              <w:top w:val="nil"/>
              <w:left w:val="nil"/>
              <w:bottom w:val="single" w:sz="4"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3,00,000</w:t>
            </w:r>
          </w:p>
        </w:tc>
        <w:tc>
          <w:tcPr>
            <w:tcW w:w="1984" w:type="dxa"/>
            <w:tcBorders>
              <w:top w:val="nil"/>
              <w:left w:val="nil"/>
              <w:bottom w:val="single" w:sz="4"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Sinew Developers Private Limited</w:t>
            </w:r>
          </w:p>
        </w:tc>
        <w:tc>
          <w:tcPr>
            <w:tcW w:w="3260" w:type="dxa"/>
            <w:tcBorders>
              <w:top w:val="nil"/>
              <w:left w:val="nil"/>
              <w:bottom w:val="single" w:sz="4"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Provisions of regulations 52(1), 52(4) and 52(5) of SEBI (Listing Obligations and Disclosure Requirements) Regulations, 2015 -Disclosures</w:t>
            </w:r>
          </w:p>
        </w:tc>
      </w:tr>
      <w:tr w:rsidR="001D093A" w:rsidRPr="00F9747C" w:rsidTr="001328D4">
        <w:trPr>
          <w:trHeight w:val="2115"/>
        </w:trPr>
        <w:tc>
          <w:tcPr>
            <w:tcW w:w="1418" w:type="dxa"/>
            <w:tcBorders>
              <w:top w:val="single" w:sz="4" w:space="0" w:color="auto"/>
              <w:left w:val="single" w:sz="4" w:space="0" w:color="auto"/>
              <w:bottom w:val="single" w:sz="4"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18/12/2020</w:t>
            </w:r>
          </w:p>
        </w:tc>
        <w:tc>
          <w:tcPr>
            <w:tcW w:w="1701" w:type="dxa"/>
            <w:tcBorders>
              <w:top w:val="single" w:sz="4" w:space="0" w:color="auto"/>
              <w:left w:val="nil"/>
              <w:bottom w:val="single" w:sz="4"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Global Securities Ltd.</w:t>
            </w:r>
          </w:p>
        </w:tc>
        <w:tc>
          <w:tcPr>
            <w:tcW w:w="1134" w:type="dxa"/>
            <w:tcBorders>
              <w:top w:val="single" w:sz="4" w:space="0" w:color="auto"/>
              <w:left w:val="nil"/>
              <w:bottom w:val="single" w:sz="4"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Adj</w:t>
            </w:r>
            <w:r>
              <w:rPr>
                <w:rFonts w:ascii="Palatino Linotype" w:hAnsi="Palatino Linotype" w:cs="Calibri"/>
                <w:color w:val="000000"/>
                <w:szCs w:val="22"/>
              </w:rPr>
              <w:t>.</w:t>
            </w:r>
          </w:p>
        </w:tc>
        <w:tc>
          <w:tcPr>
            <w:tcW w:w="1560" w:type="dxa"/>
            <w:tcBorders>
              <w:top w:val="single" w:sz="4" w:space="0" w:color="auto"/>
              <w:left w:val="nil"/>
              <w:bottom w:val="single" w:sz="4"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18,00,000</w:t>
            </w:r>
          </w:p>
        </w:tc>
        <w:tc>
          <w:tcPr>
            <w:tcW w:w="1984" w:type="dxa"/>
            <w:tcBorders>
              <w:top w:val="single" w:sz="4" w:space="0" w:color="auto"/>
              <w:left w:val="nil"/>
              <w:bottom w:val="single" w:sz="4"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Global Securities Limited, Kamlesh Kanahiyalal Joshi, Jagdish Goverdhan Ajwani, Umesh Kashinath Gawand</w:t>
            </w:r>
          </w:p>
        </w:tc>
        <w:tc>
          <w:tcPr>
            <w:tcW w:w="3260"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Clause 35 of Listing Agreement r/w  Regulation 103 of SEBI (Listing Obligations and Disclosure Requirements) Regulations, 2015 –Others, Listing Agreement -Others, Sections 11C(2) &amp; 11C(3)-Sections 11C(2) &amp; 11C(3) of the SEBI Act, 1992</w:t>
            </w:r>
          </w:p>
        </w:tc>
      </w:tr>
      <w:tr w:rsidR="001D093A" w:rsidRPr="00F9747C" w:rsidTr="001328D4">
        <w:trPr>
          <w:trHeight w:val="1758"/>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Calibri"/>
                <w:color w:val="000000"/>
                <w:szCs w:val="22"/>
              </w:rPr>
            </w:pPr>
            <w:r w:rsidRPr="00F9747C">
              <w:rPr>
                <w:rFonts w:ascii="Palatino Linotype" w:hAnsi="Palatino Linotype" w:cs="Calibri"/>
                <w:color w:val="000000"/>
                <w:szCs w:val="22"/>
              </w:rPr>
              <w:t>15/12/2020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Timbor Home Ltd</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11B</w:t>
            </w:r>
          </w:p>
          <w:p w:rsidR="001D093A" w:rsidRPr="00F9747C" w:rsidRDefault="001D093A" w:rsidP="001328D4">
            <w:pPr>
              <w:jc w:val="right"/>
              <w:rPr>
                <w:rFonts w:ascii="Palatino Linotype" w:hAnsi="Palatino Linotype" w:cs="Calibri"/>
                <w:color w:val="000000"/>
                <w:szCs w:val="22"/>
              </w:rPr>
            </w:pP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rPr>
            </w:pPr>
            <w:r w:rsidRPr="00F9747C">
              <w:rPr>
                <w:rFonts w:ascii="Palatino Linotype" w:hAnsi="Palatino Linotype" w:cs="Calibri"/>
                <w:color w:val="000000"/>
                <w:szCs w:val="22"/>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Timbor Home Limited,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Rakesh Mohinder Puri,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Anant Sureshchandra Maloo,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Tejdeepsingh Harvindersingh Anand,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Manan Vidhyapati Patel,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 xml:space="preserve">Abhijeet Dwarkadas Daga, </w:t>
            </w:r>
          </w:p>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Rakesh Surajkumar Bhagat</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Calibri"/>
                <w:color w:val="000000"/>
                <w:szCs w:val="22"/>
              </w:rPr>
            </w:pPr>
            <w:r w:rsidRPr="00F9747C">
              <w:rPr>
                <w:rFonts w:ascii="Palatino Linotype" w:hAnsi="Palatino Linotype" w:cs="Calibri"/>
                <w:color w:val="000000"/>
                <w:szCs w:val="22"/>
              </w:rPr>
              <w:t>ICDR Regulation, PFUTP Regulations, PROCEEDINGS UNDER SEC. 11</w:t>
            </w:r>
          </w:p>
        </w:tc>
      </w:tr>
      <w:tr w:rsidR="001D093A" w:rsidRPr="00F9747C" w:rsidTr="001328D4">
        <w:trPr>
          <w:trHeight w:val="1815"/>
        </w:trPr>
        <w:tc>
          <w:tcPr>
            <w:tcW w:w="1418" w:type="dxa"/>
            <w:tcBorders>
              <w:top w:val="single" w:sz="4" w:space="0" w:color="auto"/>
              <w:left w:val="single" w:sz="8" w:space="0" w:color="auto"/>
              <w:bottom w:val="single" w:sz="8" w:space="0" w:color="auto"/>
              <w:right w:val="single" w:sz="8" w:space="0" w:color="auto"/>
            </w:tcBorders>
            <w:shd w:val="clear" w:color="auto" w:fill="auto"/>
            <w:noWrap/>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14/12/2020</w:t>
            </w:r>
          </w:p>
        </w:tc>
        <w:tc>
          <w:tcPr>
            <w:tcW w:w="1701" w:type="dxa"/>
            <w:tcBorders>
              <w:top w:val="single" w:sz="4" w:space="0" w:color="auto"/>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Money Streets</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Advisory Services LLP</w:t>
            </w:r>
          </w:p>
        </w:tc>
        <w:tc>
          <w:tcPr>
            <w:tcW w:w="1134" w:type="dxa"/>
            <w:tcBorders>
              <w:top w:val="single" w:sz="4" w:space="0" w:color="auto"/>
              <w:left w:val="nil"/>
              <w:bottom w:val="single" w:sz="8" w:space="0" w:color="auto"/>
              <w:right w:val="single" w:sz="8" w:space="0" w:color="auto"/>
            </w:tcBorders>
            <w:shd w:val="clear" w:color="auto" w:fill="auto"/>
            <w:hideMark/>
          </w:tcPr>
          <w:p w:rsidR="001D093A" w:rsidRPr="00F9747C" w:rsidRDefault="001D093A" w:rsidP="001328D4">
            <w:pPr>
              <w:shd w:val="clear" w:color="auto" w:fill="FFFFFF"/>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single" w:sz="4" w:space="0" w:color="auto"/>
              <w:left w:val="nil"/>
              <w:bottom w:val="single" w:sz="8" w:space="0" w:color="auto"/>
              <w:right w:val="single" w:sz="8" w:space="0" w:color="auto"/>
            </w:tcBorders>
            <w:shd w:val="clear" w:color="auto" w:fill="auto"/>
            <w:noWrap/>
            <w:hideMark/>
          </w:tcPr>
          <w:p w:rsidR="001D093A" w:rsidRPr="00F9747C" w:rsidRDefault="001D093A" w:rsidP="001328D4">
            <w:pPr>
              <w:shd w:val="clear" w:color="auto" w:fill="FFFFFF"/>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single" w:sz="4" w:space="0" w:color="auto"/>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Money Streets Advisory Services LLP;</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Zulfiqar Ahmed; and Ifteqaar</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3260" w:type="dxa"/>
            <w:tcBorders>
              <w:top w:val="single" w:sz="4" w:space="0" w:color="auto"/>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398"/>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14/12/2020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Equity</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Mania</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Financial</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Advisory</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Equity Mania Financial</w:t>
            </w:r>
          </w:p>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Advisory proprietor Ankit Goel</w:t>
            </w:r>
          </w:p>
          <w:p w:rsidR="001D093A" w:rsidRPr="00F9747C" w:rsidRDefault="001D093A" w:rsidP="001328D4">
            <w:pPr>
              <w:rPr>
                <w:rFonts w:ascii="Palatino Linotype" w:hAnsi="Palatino Linotype" w:cstheme="minorHAnsi"/>
                <w:color w:val="000000" w:themeColor="text1"/>
                <w:szCs w:val="22"/>
                <w:lang w:eastAsia="en-IN"/>
              </w:rPr>
            </w:pP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706"/>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15/12/2020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VRP Capital &amp; Derivative Market Services </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VRP Capital &amp; Derivative Market Services and its proprietor. Vaibhav</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Ramachandra</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Patil</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36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16/12/2020</w:t>
            </w:r>
          </w:p>
          <w:p w:rsidR="001D093A" w:rsidRPr="00F9747C" w:rsidRDefault="001D093A" w:rsidP="001328D4">
            <w:pPr>
              <w:jc w:val="right"/>
              <w:rPr>
                <w:rFonts w:ascii="Palatino Linotype" w:hAnsi="Palatino Linotype" w:cstheme="minorHAnsi"/>
                <w:color w:val="000000" w:themeColor="text1"/>
                <w:szCs w:val="22"/>
                <w:lang w:eastAsia="en-IN"/>
              </w:rPr>
            </w:pPr>
          </w:p>
          <w:p w:rsidR="001D093A" w:rsidRPr="00F9747C" w:rsidRDefault="001D093A" w:rsidP="001328D4">
            <w:pPr>
              <w:jc w:val="right"/>
              <w:rPr>
                <w:rFonts w:ascii="Palatino Linotype" w:hAnsi="Palatino Linotype" w:cstheme="minorHAnsi"/>
                <w:color w:val="000000" w:themeColor="text1"/>
                <w:szCs w:val="22"/>
                <w:lang w:eastAsia="en-IN"/>
              </w:rPr>
            </w:pP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Vinayak</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Tradelink</w:t>
            </w:r>
          </w:p>
          <w:p w:rsidR="001D093A" w:rsidRPr="00F9747C" w:rsidRDefault="001D093A" w:rsidP="001328D4">
            <w:pPr>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Vinayak</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Tradelink proprietor Vivek</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Mahendragiri</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Ramdati</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377"/>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15/12/2020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Agrich</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Traders</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Agrich Traders and its proprietor Prakash</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Shyamlal</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Rathod </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389"/>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16/12/2020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Suneel Kumar Patel and Duiji Patel</w:t>
            </w: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Suneel Kumar Patel, and Duiji Patel</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81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17/12/2020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Vascon Engineers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Limited</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Exemp</w:t>
            </w:r>
            <w:r>
              <w:rPr>
                <w:rFonts w:ascii="Palatino Linotype" w:hAnsi="Palatino Linotype" w:cs="Calibri"/>
                <w:color w:val="000000"/>
                <w:szCs w:val="22"/>
                <w:lang w:eastAsia="en-IN"/>
              </w:rPr>
              <w:t>-</w:t>
            </w:r>
            <w:r w:rsidRPr="00F9747C">
              <w:rPr>
                <w:rFonts w:ascii="Palatino Linotype" w:hAnsi="Palatino Linotype" w:cs="Calibri"/>
                <w:color w:val="000000"/>
                <w:szCs w:val="22"/>
                <w:lang w:eastAsia="en-IN"/>
              </w:rPr>
              <w:t>tion to propo</w:t>
            </w:r>
            <w:r>
              <w:rPr>
                <w:rFonts w:ascii="Palatino Linotype" w:hAnsi="Palatino Linotype" w:cs="Calibri"/>
                <w:color w:val="000000"/>
                <w:szCs w:val="22"/>
                <w:lang w:eastAsia="en-IN"/>
              </w:rPr>
              <w:t>-</w:t>
            </w:r>
            <w:r w:rsidRPr="00F9747C">
              <w:rPr>
                <w:rFonts w:ascii="Palatino Linotype" w:hAnsi="Palatino Linotype" w:cs="Calibri"/>
                <w:color w:val="000000"/>
                <w:szCs w:val="22"/>
                <w:lang w:eastAsia="en-IN"/>
              </w:rPr>
              <w:t>sed acquirer</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Calibri"/>
                <w:color w:val="000000"/>
                <w:szCs w:val="22"/>
                <w:lang w:eastAsia="en-IN"/>
              </w:rPr>
              <w:t xml:space="preserve">Proposed Acquirer </w:t>
            </w:r>
            <w:r w:rsidRPr="00F9747C">
              <w:rPr>
                <w:rFonts w:ascii="Palatino Linotype" w:hAnsi="Palatino Linotype" w:cstheme="minorHAnsi"/>
                <w:color w:val="000000" w:themeColor="text1"/>
                <w:szCs w:val="22"/>
                <w:lang w:eastAsia="en-IN"/>
              </w:rPr>
              <w:t xml:space="preserve">Vasudevan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Family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Trust</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Calibri"/>
                <w:color w:val="000000"/>
                <w:szCs w:val="22"/>
                <w:lang w:eastAsia="en-IN"/>
              </w:rPr>
            </w:pPr>
            <w:r w:rsidRPr="00F9747C">
              <w:rPr>
                <w:rFonts w:ascii="Palatino Linotype" w:hAnsi="Palatino Linotype" w:cs="Calibri"/>
                <w:color w:val="000000"/>
                <w:szCs w:val="22"/>
                <w:lang w:eastAsia="en-IN"/>
              </w:rPr>
              <w:t xml:space="preserve">Exemption from complying with the requirements of Regulation 3 and 4 of the Takeover Regulations 2011 </w:t>
            </w:r>
          </w:p>
        </w:tc>
      </w:tr>
      <w:tr w:rsidR="001D093A" w:rsidRPr="00F9747C" w:rsidTr="001328D4">
        <w:trPr>
          <w:trHeight w:val="1353"/>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17/12/2020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Capital</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Nivesh</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Research</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Capital Nivesh Research and its proprietor Naresh Nimawat;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Bright Money Solutions and its proprietor Naresh Nimawat; , Ashwin Doriya</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Section 12(1) of SEBI Act read with Regulation 3(1) of SEBI (Investment Advisers) Regulations, 2013</w:t>
            </w:r>
          </w:p>
        </w:tc>
      </w:tr>
      <w:tr w:rsidR="001D093A" w:rsidRPr="00F9747C" w:rsidTr="001328D4">
        <w:trPr>
          <w:trHeight w:val="1815"/>
        </w:trPr>
        <w:tc>
          <w:tcPr>
            <w:tcW w:w="1418" w:type="dxa"/>
            <w:tcBorders>
              <w:top w:val="nil"/>
              <w:left w:val="single" w:sz="8" w:space="0" w:color="auto"/>
              <w:bottom w:val="single" w:sz="8" w:space="0" w:color="auto"/>
              <w:right w:val="single" w:sz="8" w:space="0" w:color="auto"/>
            </w:tcBorders>
            <w:shd w:val="clear" w:color="auto" w:fill="auto"/>
            <w:noWrap/>
            <w:hideMark/>
          </w:tcPr>
          <w:p w:rsidR="001D093A" w:rsidRPr="00F9747C" w:rsidRDefault="001D093A" w:rsidP="001328D4">
            <w:pPr>
              <w:jc w:val="right"/>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18/12/2020</w:t>
            </w:r>
          </w:p>
        </w:tc>
        <w:tc>
          <w:tcPr>
            <w:tcW w:w="1701"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Front Running by Manish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Chaturvedi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&amp; Others</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p>
        </w:tc>
        <w:tc>
          <w:tcPr>
            <w:tcW w:w="1134" w:type="dxa"/>
            <w:tcBorders>
              <w:top w:val="nil"/>
              <w:left w:val="nil"/>
              <w:bottom w:val="single" w:sz="8" w:space="0" w:color="auto"/>
              <w:right w:val="single" w:sz="8" w:space="0" w:color="auto"/>
            </w:tcBorders>
            <w:shd w:val="clear" w:color="auto" w:fill="auto"/>
            <w:hideMark/>
          </w:tcPr>
          <w:p w:rsidR="001D093A" w:rsidRPr="00F9747C" w:rsidRDefault="001D093A" w:rsidP="001328D4">
            <w:pPr>
              <w:jc w:val="cente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11B</w:t>
            </w:r>
          </w:p>
        </w:tc>
        <w:tc>
          <w:tcPr>
            <w:tcW w:w="1560" w:type="dxa"/>
            <w:tcBorders>
              <w:top w:val="nil"/>
              <w:left w:val="nil"/>
              <w:bottom w:val="single" w:sz="8" w:space="0" w:color="auto"/>
              <w:right w:val="single" w:sz="8" w:space="0" w:color="auto"/>
            </w:tcBorders>
            <w:shd w:val="clear" w:color="auto" w:fill="auto"/>
            <w:noWrap/>
            <w:hideMark/>
          </w:tcPr>
          <w:p w:rsidR="001D093A" w:rsidRPr="00B811D6" w:rsidRDefault="001D093A" w:rsidP="001328D4">
            <w:pPr>
              <w:jc w:val="right"/>
              <w:rPr>
                <w:rFonts w:ascii="Palatino Linotype" w:hAnsi="Palatino Linotype" w:cstheme="minorHAnsi"/>
                <w:color w:val="000000" w:themeColor="text1"/>
                <w:sz w:val="23"/>
                <w:szCs w:val="23"/>
                <w:lang w:eastAsia="en-IN"/>
              </w:rPr>
            </w:pPr>
            <w:r w:rsidRPr="00B811D6">
              <w:rPr>
                <w:rFonts w:ascii="Palatino Linotype" w:hAnsi="Palatino Linotype" w:cstheme="minorHAnsi"/>
                <w:color w:val="000000" w:themeColor="text1"/>
                <w:sz w:val="23"/>
                <w:szCs w:val="23"/>
                <w:lang w:eastAsia="en-IN"/>
              </w:rPr>
              <w:t xml:space="preserve">19,89,60,960 </w:t>
            </w:r>
          </w:p>
        </w:tc>
        <w:tc>
          <w:tcPr>
            <w:tcW w:w="1984" w:type="dxa"/>
            <w:tcBorders>
              <w:top w:val="nil"/>
              <w:left w:val="nil"/>
              <w:bottom w:val="single" w:sz="8" w:space="0" w:color="auto"/>
              <w:right w:val="single" w:sz="8" w:space="0" w:color="auto"/>
            </w:tcBorders>
            <w:shd w:val="clear" w:color="auto" w:fill="auto"/>
            <w:hideMark/>
          </w:tcPr>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Manish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Chaturvedi </w:t>
            </w:r>
          </w:p>
          <w:p w:rsidR="001D093A" w:rsidRPr="00F9747C" w:rsidRDefault="001D093A" w:rsidP="001328D4">
            <w:pPr>
              <w:shd w:val="clear" w:color="auto" w:fill="FFFFFF"/>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&amp; Others</w:t>
            </w:r>
          </w:p>
        </w:tc>
        <w:tc>
          <w:tcPr>
            <w:tcW w:w="3260" w:type="dxa"/>
            <w:tcBorders>
              <w:top w:val="nil"/>
              <w:left w:val="nil"/>
              <w:bottom w:val="single" w:sz="8" w:space="0" w:color="auto"/>
              <w:right w:val="single" w:sz="8" w:space="0" w:color="auto"/>
            </w:tcBorders>
            <w:shd w:val="clear" w:color="auto" w:fill="auto"/>
            <w:hideMark/>
          </w:tcPr>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 xml:space="preserve">Sections 12A(a), (b) and (c) of the SEBI Act and Regulations 3(a), (b), (c), (d) read with </w:t>
            </w:r>
          </w:p>
          <w:p w:rsidR="001D093A" w:rsidRPr="00F9747C" w:rsidRDefault="001D093A" w:rsidP="001328D4">
            <w:pPr>
              <w:rPr>
                <w:rFonts w:ascii="Palatino Linotype" w:hAnsi="Palatino Linotype" w:cstheme="minorHAnsi"/>
                <w:color w:val="000000" w:themeColor="text1"/>
                <w:szCs w:val="22"/>
                <w:lang w:eastAsia="en-IN"/>
              </w:rPr>
            </w:pPr>
            <w:r w:rsidRPr="00F9747C">
              <w:rPr>
                <w:rFonts w:ascii="Palatino Linotype" w:hAnsi="Palatino Linotype" w:cstheme="minorHAnsi"/>
                <w:color w:val="000000" w:themeColor="text1"/>
                <w:szCs w:val="22"/>
                <w:lang w:eastAsia="en-IN"/>
              </w:rPr>
              <w:t>Regulation 4(1),  Regulations  4(2)(a)  and  (q)  of  the  PFUTP  Regulations  2003</w:t>
            </w:r>
          </w:p>
        </w:tc>
      </w:tr>
      <w:tr w:rsidR="001D093A" w:rsidTr="001328D4">
        <w:trPr>
          <w:trHeight w:val="135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GDR issue of Farmax</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10,00,000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Mr. Mukesh Chauradiya</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12A(a), (b), (c) of SEBI Act,  1992 read with Regulations 3(a), (b), (c), (d) and 4(1) of SEBI (Prohibition of Fraudulent and Unfair Trade Practices) Regulations, 2003.</w:t>
            </w:r>
          </w:p>
        </w:tc>
      </w:tr>
      <w:tr w:rsidR="001D093A" w:rsidTr="001328D4">
        <w:trPr>
          <w:trHeight w:val="141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Reliance Capital Limited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Reliance Capital Limited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Provisions of Regulation 52, Regulation 42(2) and 42(3) of DP Regulations and clause 2 and 4 of the Code of Conduct specified under Third Schedule read with Regulations 20AA of the DP Regulations; SEBI Circulars dated April 23, 2010 and August 31, 2010</w:t>
            </w:r>
          </w:p>
        </w:tc>
      </w:tr>
      <w:tr w:rsidR="001D093A" w:rsidTr="001328D4">
        <w:trPr>
          <w:trHeight w:val="76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Ind Barath Thermotek Pvt.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3,00,000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Ind Barath Thermotek Pvt. Ltd.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Regulation 52(1), 52(4) and 52(5) of the SEBI (Listing Obligations and Disclosure Requirements) Regulations</w:t>
            </w:r>
          </w:p>
        </w:tc>
      </w:tr>
      <w:tr w:rsidR="001D093A" w:rsidTr="001328D4">
        <w:trPr>
          <w:trHeight w:val="153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Pincon Lifestyle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6,00,000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Monoranjan Roy</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Regulation 7 (2) (a) of the SEBI (Prohibition of Insider Trading) Regulations (PIT Regulations) and Regulations  29 (1)   read   with   (3)   of   SEBI (Substantial Acquisition of Shares and Takeovers) Regulations   (SAST Regulations)</w:t>
            </w:r>
          </w:p>
        </w:tc>
      </w:tr>
      <w:tr w:rsidR="001D093A" w:rsidTr="001328D4">
        <w:trPr>
          <w:trHeight w:val="255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23/12/2020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Super Sales India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15,00,000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Bharat Jayantilal Patel and others</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Regulations 13 (1) and (3) read with (5) of the PIT Regulations 1992, Regulations 29 (1) and (2) read with (3) and (5)    of    the    Takeover Regulations</w:t>
            </w:r>
          </w:p>
        </w:tc>
      </w:tr>
      <w:tr w:rsidR="001D093A" w:rsidTr="001328D4">
        <w:trPr>
          <w:trHeight w:val="127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23/12/2020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Sonata Software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3,00,000</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Kundan K Lal </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Regulation 9 (1) read with 9 (3) of SEBI (PIT Regulations, 2015</w:t>
            </w:r>
          </w:p>
        </w:tc>
      </w:tr>
      <w:tr w:rsidR="001D093A" w:rsidTr="001328D4">
        <w:trPr>
          <w:trHeight w:val="178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24/12/2020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New Delhi Television Limited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25,00,00,000 jointly and severally and 1,00,00,000 each  </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Mr.Prannoy Roy;</w:t>
            </w:r>
          </w:p>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Ms. Radhika Roy; and</w:t>
            </w:r>
          </w:p>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M/s. RRPR Holding Pvt. Ltd.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Provisions of Section 12A (a) and (b) of SEBI Act read with Regulation 3(a), (b), (c), (d) and 4(1) PFUTP Regulations, and also Clause 49 (1) (D) of Equity Listing Agreement read with Section 21 of SCRA</w:t>
            </w:r>
          </w:p>
        </w:tc>
      </w:tr>
      <w:tr w:rsidR="001D093A" w:rsidTr="001328D4">
        <w:trPr>
          <w:trHeight w:val="1020"/>
        </w:trPr>
        <w:tc>
          <w:tcPr>
            <w:tcW w:w="1418" w:type="dxa"/>
            <w:tcBorders>
              <w:top w:val="nil"/>
              <w:left w:val="single" w:sz="4" w:space="0" w:color="auto"/>
              <w:bottom w:val="nil"/>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24/12/2020</w:t>
            </w:r>
          </w:p>
        </w:tc>
        <w:tc>
          <w:tcPr>
            <w:tcW w:w="1701" w:type="dxa"/>
            <w:tcBorders>
              <w:top w:val="nil"/>
              <w:left w:val="nil"/>
              <w:bottom w:val="nil"/>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Viji Finance Limited</w:t>
            </w:r>
          </w:p>
        </w:tc>
        <w:tc>
          <w:tcPr>
            <w:tcW w:w="1134" w:type="dxa"/>
            <w:tcBorders>
              <w:top w:val="nil"/>
              <w:left w:val="nil"/>
              <w:bottom w:val="nil"/>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Adj.</w:t>
            </w:r>
          </w:p>
        </w:tc>
        <w:tc>
          <w:tcPr>
            <w:tcW w:w="1560" w:type="dxa"/>
            <w:tcBorders>
              <w:top w:val="nil"/>
              <w:left w:val="nil"/>
              <w:bottom w:val="nil"/>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15,00,000 jointly and severally </w:t>
            </w:r>
          </w:p>
        </w:tc>
        <w:tc>
          <w:tcPr>
            <w:tcW w:w="1984" w:type="dxa"/>
            <w:tcBorders>
              <w:top w:val="nil"/>
              <w:left w:val="nil"/>
              <w:bottom w:val="nil"/>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78 entities out of 79 </w:t>
            </w:r>
          </w:p>
        </w:tc>
        <w:tc>
          <w:tcPr>
            <w:tcW w:w="3260" w:type="dxa"/>
            <w:tcBorders>
              <w:top w:val="nil"/>
              <w:left w:val="nil"/>
              <w:bottom w:val="nil"/>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12A (b) of SEBI Act read with Regulation 3 (c) and 4 (2) (a) of PFUTP Regulations</w:t>
            </w:r>
          </w:p>
        </w:tc>
      </w:tr>
      <w:tr w:rsidR="001D093A" w:rsidTr="001328D4">
        <w:trPr>
          <w:trHeight w:val="127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21/12/2020</w:t>
            </w:r>
          </w:p>
        </w:tc>
        <w:tc>
          <w:tcPr>
            <w:tcW w:w="1701"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Delisting of Equity Shares of The United Provinces Sugar Company Ltd.</w:t>
            </w:r>
          </w:p>
        </w:tc>
        <w:tc>
          <w:tcPr>
            <w:tcW w:w="1134"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11(1) and 11(B)</w:t>
            </w:r>
          </w:p>
        </w:tc>
        <w:tc>
          <w:tcPr>
            <w:tcW w:w="1560"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 </w:t>
            </w:r>
          </w:p>
        </w:tc>
        <w:tc>
          <w:tcPr>
            <w:tcW w:w="1984"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The United Provinces Sugar Company Ltd.</w:t>
            </w:r>
          </w:p>
        </w:tc>
        <w:tc>
          <w:tcPr>
            <w:tcW w:w="3260" w:type="dxa"/>
            <w:tcBorders>
              <w:top w:val="single" w:sz="4" w:space="0" w:color="auto"/>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Relaxation from applicability of Regulation  27(3)  (d)  of  the  SEBI  (Delisting  of  Equity Shares) Regulations, 2009 subject to certain directions.</w:t>
            </w:r>
          </w:p>
        </w:tc>
      </w:tr>
      <w:tr w:rsidR="001D093A" w:rsidTr="001328D4">
        <w:trPr>
          <w:trHeight w:val="127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21/12/2020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Delisting  of  Equity  Shares  of Pagita  Leasing  and  Finance Company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11(1) and 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 </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Pagita  Leasing  and  Finance Company Ltd.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Relaxation under Regulation 6(b) and incidental consequential requirements thereof subject to certain conditions.</w:t>
            </w:r>
          </w:p>
        </w:tc>
      </w:tr>
      <w:tr w:rsidR="001D093A" w:rsidTr="001328D4">
        <w:trPr>
          <w:trHeight w:val="102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21/12/2020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Delisting of equity shares of Prabhat Dairy Limited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11(1) and 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Prabhat Dairy Limited</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Relaxation under Regulation 8(1)(d) of the Delisting Regulations subject to certain directions</w:t>
            </w:r>
          </w:p>
        </w:tc>
      </w:tr>
      <w:tr w:rsidR="001D093A" w:rsidTr="001328D4">
        <w:trPr>
          <w:trHeight w:val="127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MPF Systems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15 HA, 23E and 23H</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6,00,000/- on MPF Systems Ltd. and 4,00,000 each on four other entities </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MPF Systems Ltd. and 4 other  entities </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15HA  of the    SEBI    Act 1992  and  23E &amp; 23H  of SCRA</w:t>
            </w:r>
          </w:p>
        </w:tc>
      </w:tr>
      <w:tr w:rsidR="001D093A" w:rsidTr="001328D4">
        <w:trPr>
          <w:trHeight w:val="178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Esteem Bio Organic Food Processing Limited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 </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Esteem Bio Organic Food Processing Limited and 13 other entities</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12  A(a),  (b)  and  (c)  of  SEBI  Act,  1992 read with Regulations 3(a), (b), (c), (d) and 4(1) of PFUTP Regulations, 2003.</w:t>
            </w:r>
          </w:p>
        </w:tc>
      </w:tr>
      <w:tr w:rsidR="001D093A" w:rsidTr="001328D4">
        <w:trPr>
          <w:trHeight w:val="127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 xml:space="preserve">IPO of HPC Biosciences Limited </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 xml:space="preserve"> - </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HPC Biosciences Limited and 10 other entities</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12  A(a),  (b)  and  (c)  of  SEBI  Act, 1992 read with Regulations3(a), (b), (c), (d) and 4(1) of PFUTP Regulations, 2003</w:t>
            </w:r>
          </w:p>
        </w:tc>
      </w:tr>
      <w:tr w:rsidR="001D093A" w:rsidTr="001328D4">
        <w:trPr>
          <w:trHeight w:val="1530"/>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IPO of Channel Nine Entertainment Limited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Channel Nine Entertainment Limited and 10 other entities</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Section 12 (A)(a), (b) and (c) of SEBI Act, 1992 read with Regulations 3 (a), (b), (c), (d) and 4 (1), of SEBI (PFUTP) Regulations, 2003</w:t>
            </w:r>
          </w:p>
        </w:tc>
      </w:tr>
      <w:tr w:rsidR="001D093A" w:rsidTr="001328D4">
        <w:trPr>
          <w:trHeight w:val="1785"/>
        </w:trPr>
        <w:tc>
          <w:tcPr>
            <w:tcW w:w="1418" w:type="dxa"/>
            <w:tcBorders>
              <w:top w:val="nil"/>
              <w:left w:val="single" w:sz="4" w:space="0" w:color="auto"/>
              <w:bottom w:val="single" w:sz="4" w:space="0" w:color="auto"/>
              <w:right w:val="single" w:sz="4" w:space="0" w:color="auto"/>
            </w:tcBorders>
            <w:shd w:val="clear" w:color="auto" w:fill="auto"/>
            <w:hideMark/>
          </w:tcPr>
          <w:p w:rsidR="001D093A" w:rsidRPr="00F9747C" w:rsidRDefault="001D093A" w:rsidP="001328D4">
            <w:pPr>
              <w:jc w:val="right"/>
              <w:rPr>
                <w:rFonts w:ascii="Palatino Linotype" w:hAnsi="Palatino Linotype" w:cs="Arial"/>
                <w:color w:val="000000"/>
                <w:sz w:val="23"/>
                <w:szCs w:val="23"/>
              </w:rPr>
            </w:pPr>
            <w:r w:rsidRPr="00F9747C">
              <w:rPr>
                <w:rFonts w:ascii="Palatino Linotype" w:hAnsi="Palatino Linotype" w:cs="Arial"/>
                <w:color w:val="000000"/>
                <w:sz w:val="23"/>
                <w:szCs w:val="23"/>
              </w:rPr>
              <w:t>22/12/2020</w:t>
            </w:r>
          </w:p>
        </w:tc>
        <w:tc>
          <w:tcPr>
            <w:tcW w:w="1701"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Eco Friendly Food Processing Park Ltd.</w:t>
            </w:r>
          </w:p>
        </w:tc>
        <w:tc>
          <w:tcPr>
            <w:tcW w:w="113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11B</w:t>
            </w:r>
          </w:p>
        </w:tc>
        <w:tc>
          <w:tcPr>
            <w:tcW w:w="1560"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center"/>
              <w:rPr>
                <w:rFonts w:ascii="Palatino Linotype" w:hAnsi="Palatino Linotype" w:cs="Arial"/>
                <w:color w:val="000000"/>
                <w:sz w:val="23"/>
                <w:szCs w:val="23"/>
              </w:rPr>
            </w:pPr>
            <w:r w:rsidRPr="00F9747C">
              <w:rPr>
                <w:rFonts w:ascii="Palatino Linotype" w:hAnsi="Palatino Linotype" w:cs="Arial"/>
                <w:color w:val="000000"/>
                <w:sz w:val="23"/>
                <w:szCs w:val="23"/>
              </w:rPr>
              <w:t>-</w:t>
            </w:r>
          </w:p>
        </w:tc>
        <w:tc>
          <w:tcPr>
            <w:tcW w:w="1984" w:type="dxa"/>
            <w:tcBorders>
              <w:top w:val="nil"/>
              <w:left w:val="nil"/>
              <w:bottom w:val="single" w:sz="4" w:space="0" w:color="auto"/>
              <w:right w:val="single" w:sz="4" w:space="0" w:color="auto"/>
            </w:tcBorders>
            <w:shd w:val="clear" w:color="auto" w:fill="auto"/>
            <w:hideMark/>
          </w:tcPr>
          <w:p w:rsidR="001D093A" w:rsidRPr="00F9747C" w:rsidRDefault="001D093A" w:rsidP="001328D4">
            <w:pPr>
              <w:jc w:val="both"/>
              <w:rPr>
                <w:rFonts w:ascii="Palatino Linotype" w:hAnsi="Palatino Linotype" w:cs="Arial"/>
                <w:color w:val="000000"/>
                <w:sz w:val="23"/>
                <w:szCs w:val="23"/>
              </w:rPr>
            </w:pPr>
            <w:r w:rsidRPr="00F9747C">
              <w:rPr>
                <w:rFonts w:ascii="Palatino Linotype" w:hAnsi="Palatino Linotype" w:cs="Arial"/>
                <w:color w:val="000000"/>
                <w:sz w:val="23"/>
                <w:szCs w:val="23"/>
              </w:rPr>
              <w:t>Eco Friendly Food Processing Park Ltd. and 15 other entities</w:t>
            </w:r>
          </w:p>
        </w:tc>
        <w:tc>
          <w:tcPr>
            <w:tcW w:w="3260" w:type="dxa"/>
            <w:tcBorders>
              <w:top w:val="nil"/>
              <w:left w:val="nil"/>
              <w:bottom w:val="single" w:sz="4" w:space="0" w:color="auto"/>
              <w:right w:val="single" w:sz="4" w:space="0" w:color="auto"/>
            </w:tcBorders>
            <w:shd w:val="clear" w:color="auto" w:fill="auto"/>
            <w:hideMark/>
          </w:tcPr>
          <w:p w:rsidR="001D093A" w:rsidRPr="00F9747C" w:rsidRDefault="001D093A" w:rsidP="001328D4">
            <w:pPr>
              <w:rPr>
                <w:rFonts w:ascii="Palatino Linotype" w:hAnsi="Palatino Linotype" w:cs="Arial"/>
                <w:color w:val="000000"/>
                <w:sz w:val="23"/>
                <w:szCs w:val="23"/>
              </w:rPr>
            </w:pPr>
            <w:r w:rsidRPr="00F9747C">
              <w:rPr>
                <w:rFonts w:ascii="Palatino Linotype" w:hAnsi="Palatino Linotype" w:cs="Arial"/>
                <w:color w:val="000000"/>
                <w:sz w:val="23"/>
                <w:szCs w:val="23"/>
              </w:rPr>
              <w:t>Section 12 A(a), (b) and (c) of SEBI Act, 1992 read with Regulations 3(a), (b), (c), (d) and 4(1) of PFUTP Regulations, 2003</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29/12/2020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Seema Securities Ltd.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11B</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3,00,000</w:t>
            </w:r>
            <w:r>
              <w:rPr>
                <w:rFonts w:ascii="Palatino Linotype" w:eastAsia="Calibri" w:hAnsi="Palatino Linotype" w:cs="Calibri"/>
                <w:color w:val="000000"/>
                <w:sz w:val="23"/>
                <w:szCs w:val="23"/>
                <w:lang w:val="en-IN" w:bidi="hi-IN"/>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 G. Shares &amp; Securities Ltd., Seema Securities Pvt. Ltd.</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SEBI (Stock Brokers and Sub-Brokers) Regulations, 1992-Code of Conduct</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31/12/2020</w:t>
            </w:r>
          </w:p>
        </w:tc>
        <w:tc>
          <w:tcPr>
            <w:tcW w:w="1701"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Rakhal Bharoti Fish and Food Processing Limited</w:t>
            </w:r>
          </w:p>
        </w:tc>
        <w:tc>
          <w:tcPr>
            <w:tcW w:w="1134"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11B</w:t>
            </w:r>
          </w:p>
        </w:tc>
        <w:tc>
          <w:tcPr>
            <w:tcW w:w="15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Pr>
                <w:rFonts w:ascii="Palatino Linotype" w:hAnsi="Palatino Linotype" w:cs="Calibri"/>
                <w:color w:val="000000"/>
                <w:sz w:val="23"/>
                <w:szCs w:val="23"/>
                <w:lang w:val="en-IN" w:eastAsia="en-IN" w:bidi="hi-IN"/>
              </w:rPr>
              <w:t>-</w:t>
            </w:r>
          </w:p>
        </w:tc>
        <w:tc>
          <w:tcPr>
            <w:tcW w:w="1984" w:type="dxa"/>
            <w:tcBorders>
              <w:top w:val="nil"/>
              <w:left w:val="nil"/>
              <w:bottom w:val="single" w:sz="4" w:space="0" w:color="auto"/>
              <w:right w:val="single" w:sz="4" w:space="0" w:color="auto"/>
            </w:tcBorders>
            <w:shd w:val="clear" w:color="auto" w:fill="auto"/>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Rakhal Bharoti Fish and Food </w:t>
            </w:r>
          </w:p>
          <w:p w:rsidR="001D093A" w:rsidRPr="00F9747C" w:rsidRDefault="001D093A" w:rsidP="001328D4">
            <w:pPr>
              <w:shd w:val="clear" w:color="auto" w:fill="FFFFFF"/>
              <w:spacing w:after="160" w:line="259" w:lineRule="auto"/>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Processing Limited and 9 Others</w:t>
            </w:r>
          </w:p>
        </w:tc>
        <w:tc>
          <w:tcPr>
            <w:tcW w:w="32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SEBI (Issue and Listing of Debt Securities)</w:t>
            </w:r>
          </w:p>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Regulations, 2008, SEBI Act,1992</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30/12/2020</w:t>
            </w:r>
          </w:p>
        </w:tc>
        <w:tc>
          <w:tcPr>
            <w:tcW w:w="1701"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Reliance Securities Ltd.</w:t>
            </w:r>
          </w:p>
        </w:tc>
        <w:tc>
          <w:tcPr>
            <w:tcW w:w="1134"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11B</w:t>
            </w:r>
          </w:p>
        </w:tc>
        <w:tc>
          <w:tcPr>
            <w:tcW w:w="15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Pr>
                <w:rFonts w:ascii="Palatino Linotype" w:hAnsi="Palatino Linotype" w:cs="Calibri"/>
                <w:color w:val="000000"/>
                <w:sz w:val="23"/>
                <w:szCs w:val="23"/>
                <w:lang w:val="en-IN" w:eastAsia="en-IN" w:bidi="hi-IN"/>
              </w:rPr>
              <w:t>-</w:t>
            </w:r>
          </w:p>
        </w:tc>
        <w:tc>
          <w:tcPr>
            <w:tcW w:w="1984" w:type="dxa"/>
            <w:tcBorders>
              <w:top w:val="nil"/>
              <w:left w:val="nil"/>
              <w:bottom w:val="single" w:sz="4" w:space="0" w:color="auto"/>
              <w:right w:val="single" w:sz="4" w:space="0" w:color="auto"/>
            </w:tcBorders>
            <w:shd w:val="clear" w:color="auto" w:fill="auto"/>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Bharat C. Parekh and 6 others</w:t>
            </w:r>
          </w:p>
        </w:tc>
        <w:tc>
          <w:tcPr>
            <w:tcW w:w="32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SEBI (Prohibition of Fraudulent and Unfair Trade   Practices   Relating   to   Securities   Market)   Regulations,   2003</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04/01/2020</w:t>
            </w:r>
          </w:p>
        </w:tc>
        <w:tc>
          <w:tcPr>
            <w:tcW w:w="1701"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Good Profit Advisory Company </w:t>
            </w:r>
          </w:p>
        </w:tc>
        <w:tc>
          <w:tcPr>
            <w:tcW w:w="1134"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11B</w:t>
            </w:r>
          </w:p>
        </w:tc>
        <w:tc>
          <w:tcPr>
            <w:tcW w:w="15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Pr>
                <w:rFonts w:ascii="Palatino Linotype" w:hAnsi="Palatino Linotype" w:cs="Calibri"/>
                <w:color w:val="000000"/>
                <w:sz w:val="23"/>
                <w:szCs w:val="23"/>
                <w:lang w:val="en-IN" w:eastAsia="en-IN" w:bidi="hi-IN"/>
              </w:rPr>
              <w:t>-</w:t>
            </w:r>
          </w:p>
        </w:tc>
        <w:tc>
          <w:tcPr>
            <w:tcW w:w="1984" w:type="dxa"/>
            <w:tcBorders>
              <w:top w:val="nil"/>
              <w:left w:val="nil"/>
              <w:bottom w:val="single" w:sz="4" w:space="0" w:color="auto"/>
              <w:right w:val="single" w:sz="4" w:space="0" w:color="auto"/>
            </w:tcBorders>
            <w:shd w:val="clear" w:color="auto" w:fill="auto"/>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Good Profit Advisory Company and its Proprietor S. Jansiran</w:t>
            </w:r>
          </w:p>
        </w:tc>
        <w:tc>
          <w:tcPr>
            <w:tcW w:w="3260"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SEBI (Investment Advisers) Regulations, 2013</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01/01/2021</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Reliance Petroleum Limited (now  known  as  Reliance </w:t>
            </w:r>
          </w:p>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Industries Limited)</w:t>
            </w:r>
          </w:p>
          <w:p w:rsidR="001D093A" w:rsidRPr="00F9747C" w:rsidRDefault="001D093A" w:rsidP="001328D4">
            <w:pPr>
              <w:rPr>
                <w:rFonts w:ascii="Palatino Linotype" w:hAnsi="Palatino Linotype" w:cs="Calibri"/>
                <w:color w:val="000000"/>
                <w:sz w:val="23"/>
                <w:szCs w:val="23"/>
                <w:lang w:val="en-IN" w:eastAsia="en-IN" w:bidi="hi-IN"/>
              </w:rPr>
            </w:pP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70,00,00,000</w:t>
            </w:r>
            <w:r>
              <w:rPr>
                <w:rFonts w:ascii="Palatino Linotype" w:eastAsia="Calibri" w:hAnsi="Palatino Linotype" w:cs="Calibri"/>
                <w:color w:val="000000"/>
                <w:sz w:val="23"/>
                <w:szCs w:val="23"/>
                <w:lang w:val="en-IN" w:bidi="hi-IN"/>
              </w:rPr>
              <w:t xml:space="preserve"> </w:t>
            </w:r>
          </w:p>
          <w:p w:rsidR="001D093A" w:rsidRPr="00F9747C" w:rsidRDefault="001D093A" w:rsidP="001328D4">
            <w:pPr>
              <w:jc w:val="center"/>
              <w:rPr>
                <w:rFonts w:ascii="Palatino Linotype" w:hAnsi="Palatino Linotype" w:cs="Calibri"/>
                <w:color w:val="000000"/>
                <w:sz w:val="23"/>
                <w:szCs w:val="23"/>
                <w:lang w:val="en-IN" w:eastAsia="en-IN" w:bidi="hi-IN"/>
              </w:rPr>
            </w:pPr>
          </w:p>
        </w:tc>
        <w:tc>
          <w:tcPr>
            <w:tcW w:w="1984" w:type="dxa"/>
            <w:tcBorders>
              <w:top w:val="nil"/>
              <w:left w:val="nil"/>
              <w:bottom w:val="single" w:sz="4" w:space="0" w:color="auto"/>
              <w:right w:val="single" w:sz="4" w:space="0" w:color="auto"/>
            </w:tcBorders>
            <w:shd w:val="clear" w:color="auto" w:fill="auto"/>
            <w:noWrap/>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Reliance Industries Ltd.;</w:t>
            </w:r>
          </w:p>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Mukesh D. Ambani;</w:t>
            </w:r>
          </w:p>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Mumbai SEZ Ltd.;</w:t>
            </w: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Navi Mumbai SEZ Pvt. Ltd.</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Section 12A(a), (b), (c) of SEBI Act and regulations 3 and 4 of PFUTP Regulations, 2003, Regulations 3(a), (b), (c), (d) and Regulations 4(1), 4(2) &amp; (e) of SEBI (Prohibition of Fraudulent and Unfair Trade   Practices   Relating   to   Securities   Market)   Regulations,   2003 and SEBI Circular no. SMDRP/DC/CIR-10/01 dated November 02, 2001</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29/12/2020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New Delhi Television Limited (NDTV Ltd)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5,00,00,000</w:t>
            </w:r>
            <w:r>
              <w:rPr>
                <w:rFonts w:ascii="Palatino Linotype" w:eastAsia="Calibri" w:hAnsi="Palatino Linotype" w:cs="Calibri"/>
                <w:color w:val="000000"/>
                <w:sz w:val="23"/>
                <w:szCs w:val="23"/>
                <w:lang w:val="en-IN" w:bidi="hi-IN"/>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New Delhi Television Limited (NDTV Ltd)</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Clause 36 of Listing Agreement  and Section 21 of the Securities Contracts (Regulation) Act, 1956</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28/12/2020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br/>
              <w:t>Ravi Kumar Distilleries Ltd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2,00,000</w:t>
            </w:r>
            <w:r>
              <w:rPr>
                <w:rFonts w:ascii="Palatino Linotype" w:eastAsia="Calibri" w:hAnsi="Palatino Linotype" w:cs="Calibri"/>
                <w:color w:val="000000"/>
                <w:sz w:val="23"/>
                <w:szCs w:val="23"/>
                <w:lang w:val="en-IN" w:bidi="hi-IN"/>
              </w:rPr>
              <w:t xml:space="preserve"> </w:t>
            </w:r>
          </w:p>
          <w:p w:rsidR="001D093A" w:rsidRPr="00F9747C" w:rsidRDefault="001D093A" w:rsidP="001328D4">
            <w:pPr>
              <w:rPr>
                <w:rFonts w:ascii="Palatino Linotype" w:hAnsi="Palatino Linotype" w:cs="Calibri"/>
                <w:color w:val="000000"/>
                <w:sz w:val="23"/>
                <w:szCs w:val="23"/>
                <w:lang w:val="en-IN" w:eastAsia="en-IN" w:bidi="hi-IN"/>
              </w:rPr>
            </w:pP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 V Ravikumar;</w:t>
            </w:r>
          </w:p>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S Rajendran; </w:t>
            </w:r>
          </w:p>
          <w:p w:rsidR="001D093A"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 Amritha</w:t>
            </w:r>
          </w:p>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valli;</w:t>
            </w: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Ravikumar Properties Pvt. Ltd.; Siva Sankar; V Chitra;</w:t>
            </w:r>
            <w:r>
              <w:rPr>
                <w:rFonts w:ascii="Palatino Linotype" w:hAnsi="Palatino Linotype" w:cs="Calibri"/>
                <w:color w:val="000000"/>
                <w:sz w:val="23"/>
                <w:szCs w:val="23"/>
                <w:lang w:val="en-IN" w:eastAsia="en-IN" w:bidi="hi-IN"/>
              </w:rPr>
              <w:t xml:space="preserve"> </w:t>
            </w:r>
            <w:r w:rsidRPr="00F9747C">
              <w:rPr>
                <w:rFonts w:ascii="Palatino Linotype" w:hAnsi="Palatino Linotype" w:cs="Calibri"/>
                <w:color w:val="000000"/>
                <w:sz w:val="23"/>
                <w:szCs w:val="23"/>
                <w:lang w:val="en-IN" w:eastAsia="en-IN" w:bidi="hi-IN"/>
              </w:rPr>
              <w:t>Comfort Intech Ltd.</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Regulation 13(3) r/w Regulation 12(2) of SEBI (Prohibition of Ins</w:t>
            </w:r>
            <w:r>
              <w:rPr>
                <w:rFonts w:ascii="Palatino Linotype" w:hAnsi="Palatino Linotype" w:cs="Calibri"/>
                <w:color w:val="000000"/>
                <w:sz w:val="23"/>
                <w:szCs w:val="23"/>
                <w:lang w:val="en-IN" w:eastAsia="en-IN" w:bidi="hi-IN"/>
              </w:rPr>
              <w:t>ider Trading) Regulations, 2015</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30/12/2020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Asit C Mehta Investment Intermediates Limited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7,00,000</w:t>
            </w:r>
            <w:r>
              <w:rPr>
                <w:rFonts w:ascii="Palatino Linotype" w:eastAsia="Calibri" w:hAnsi="Palatino Linotype" w:cs="Calibri"/>
                <w:color w:val="000000"/>
                <w:sz w:val="23"/>
                <w:szCs w:val="23"/>
                <w:lang w:val="en-IN" w:bidi="hi-IN"/>
              </w:rPr>
              <w:t xml:space="preserve"> </w:t>
            </w:r>
          </w:p>
          <w:p w:rsidR="001D093A" w:rsidRPr="00F9747C" w:rsidRDefault="001D093A" w:rsidP="001328D4">
            <w:pPr>
              <w:jc w:val="center"/>
              <w:rPr>
                <w:rFonts w:ascii="Palatino Linotype" w:hAnsi="Palatino Linotype" w:cs="Calibri"/>
                <w:color w:val="000000"/>
                <w:sz w:val="23"/>
                <w:szCs w:val="23"/>
                <w:lang w:val="en-IN" w:eastAsia="en-IN" w:bidi="hi-IN"/>
              </w:rPr>
            </w:pP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Asit C Mehta Investment Intermediates Ltd</w:t>
            </w:r>
            <w:r>
              <w:rPr>
                <w:rFonts w:ascii="Palatino Linotype" w:hAnsi="Palatino Linotype" w:cs="Calibri"/>
                <w:color w:val="000000"/>
                <w:sz w:val="23"/>
                <w:szCs w:val="23"/>
                <w:lang w:val="en-IN" w:eastAsia="en-IN" w:bidi="hi-IN"/>
              </w:rPr>
              <w:t>.</w:t>
            </w:r>
          </w:p>
          <w:p w:rsidR="001D093A" w:rsidRPr="00F9747C" w:rsidRDefault="001D093A" w:rsidP="001328D4">
            <w:pPr>
              <w:jc w:val="both"/>
              <w:rPr>
                <w:rFonts w:ascii="Palatino Linotype" w:hAnsi="Palatino Linotype" w:cs="Calibri"/>
                <w:color w:val="000000"/>
                <w:sz w:val="23"/>
                <w:szCs w:val="23"/>
                <w:lang w:val="en-IN" w:eastAsia="en-IN" w:bidi="hi-IN"/>
              </w:rPr>
            </w:pP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SEBI Circular ref. no. MIRSD/SE/Cir-19/2009 dated December 03, 2009,</w:t>
            </w:r>
          </w:p>
          <w:p w:rsidR="001D093A" w:rsidRPr="00F9747C" w:rsidRDefault="001D093A" w:rsidP="001328D4">
            <w:pPr>
              <w:jc w:val="both"/>
              <w:rPr>
                <w:rFonts w:ascii="Palatino Linotype" w:hAnsi="Palatino Linotype" w:cs="Calibri"/>
                <w:color w:val="000000"/>
                <w:sz w:val="23"/>
                <w:szCs w:val="23"/>
                <w:lang w:val="en-IN" w:eastAsia="en-IN" w:bidi="hi-IN"/>
              </w:rPr>
            </w:pP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Clause A (2) of the Code of Conduct specified in Schedule II read with Regulation 9(f) of SEBI (Stock Brokers) Regulations, 1992</w:t>
            </w: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and </w:t>
            </w:r>
          </w:p>
          <w:p w:rsidR="001D093A" w:rsidRPr="00F9747C" w:rsidRDefault="001D093A" w:rsidP="001328D4">
            <w:pPr>
              <w:jc w:val="both"/>
              <w:rPr>
                <w:rFonts w:ascii="Palatino Linotype" w:hAnsi="Palatino Linotype" w:cs="Calibri"/>
                <w:color w:val="000000"/>
                <w:sz w:val="23"/>
                <w:szCs w:val="23"/>
                <w:lang w:val="en-IN" w:eastAsia="en-IN" w:bidi="hi-IN"/>
              </w:rPr>
            </w:pP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SEBI Circular ref. no. SMD/SED/CIR/ 93/23321 dated November 18, 1993 </w:t>
            </w:r>
          </w:p>
          <w:p w:rsidR="001D093A" w:rsidRPr="00F9747C" w:rsidRDefault="001D093A" w:rsidP="001328D4">
            <w:pPr>
              <w:spacing w:after="160" w:line="259" w:lineRule="auto"/>
              <w:jc w:val="center"/>
              <w:rPr>
                <w:rFonts w:ascii="Palatino Linotype" w:eastAsia="Calibri" w:hAnsi="Palatino Linotype" w:cs="Calibri"/>
                <w:color w:val="000000"/>
                <w:sz w:val="23"/>
                <w:szCs w:val="23"/>
                <w:lang w:val="en-IN" w:bidi="hi-IN"/>
              </w:rPr>
            </w:pP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28/12/2020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Gujarat Cotex Limited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1,00,000</w:t>
            </w:r>
            <w:r>
              <w:rPr>
                <w:rFonts w:ascii="Palatino Linotype" w:eastAsia="Calibri" w:hAnsi="Palatino Linotype" w:cs="Calibri"/>
                <w:color w:val="000000"/>
                <w:sz w:val="23"/>
                <w:szCs w:val="23"/>
                <w:lang w:val="en-IN" w:bidi="hi-IN"/>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Chetan Parekh</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Provisions of Regulations 31(1) and 31(2) r/w 31(3) of SEBI (Substantial Acquisition of Shares and Takeovers) Regulations, 2011 -Disclosures</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30/12/2020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Punjab Woolcombers Limited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4,00,000</w:t>
            </w:r>
            <w:r>
              <w:rPr>
                <w:rFonts w:ascii="Palatino Linotype" w:eastAsia="Calibri" w:hAnsi="Palatino Linotype" w:cs="Calibri"/>
                <w:color w:val="000000"/>
                <w:sz w:val="23"/>
                <w:szCs w:val="23"/>
                <w:lang w:val="en-IN" w:bidi="hi-IN"/>
              </w:rPr>
              <w:t xml:space="preserve"> </w:t>
            </w:r>
          </w:p>
          <w:p w:rsidR="001D093A" w:rsidRPr="00F9747C" w:rsidRDefault="001D093A" w:rsidP="001328D4">
            <w:pPr>
              <w:jc w:val="center"/>
              <w:rPr>
                <w:rFonts w:ascii="Palatino Linotype" w:hAnsi="Palatino Linotype" w:cs="Calibri"/>
                <w:color w:val="000000"/>
                <w:sz w:val="23"/>
                <w:szCs w:val="23"/>
                <w:lang w:val="en-IN" w:eastAsia="en-IN" w:bidi="hi-IN"/>
              </w:rPr>
            </w:pPr>
          </w:p>
        </w:tc>
        <w:tc>
          <w:tcPr>
            <w:tcW w:w="1984" w:type="dxa"/>
            <w:tcBorders>
              <w:top w:val="nil"/>
              <w:left w:val="nil"/>
              <w:bottom w:val="single" w:sz="4" w:space="0" w:color="auto"/>
              <w:right w:val="single" w:sz="4" w:space="0" w:color="auto"/>
            </w:tcBorders>
            <w:shd w:val="clear" w:color="auto" w:fill="auto"/>
            <w:vAlign w:val="center"/>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Akhil Oswal;</w:t>
            </w:r>
          </w:p>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Neelam Kumar Oswal;</w:t>
            </w:r>
          </w:p>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 xml:space="preserve"> Sudha Oswal; Neelam Kumar Oswal</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Regulation 10(5), 10(6), 29(2) r/w Regulation 29(3) of SEBI (Substantial Acquisition of Shares and Takeovers) Regulations, 2011 -Disclosures</w:t>
            </w:r>
          </w:p>
        </w:tc>
      </w:tr>
      <w:tr w:rsidR="001D093A" w:rsidRPr="00B83873" w:rsidTr="001328D4">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29/12/2020</w:t>
            </w:r>
          </w:p>
        </w:tc>
        <w:tc>
          <w:tcPr>
            <w:tcW w:w="1701"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Embassy Property Development Private Limited</w:t>
            </w:r>
          </w:p>
        </w:tc>
        <w:tc>
          <w:tcPr>
            <w:tcW w:w="1134"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Adj.</w:t>
            </w:r>
          </w:p>
        </w:tc>
        <w:tc>
          <w:tcPr>
            <w:tcW w:w="15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jc w:val="center"/>
              <w:rPr>
                <w:rFonts w:ascii="Palatino Linotype" w:hAnsi="Palatino Linotype" w:cs="Calibri"/>
                <w:color w:val="000000"/>
                <w:sz w:val="23"/>
                <w:szCs w:val="23"/>
                <w:lang w:val="en-IN" w:eastAsia="en-IN" w:bidi="hi-IN"/>
              </w:rPr>
            </w:pPr>
            <w:r w:rsidRPr="00F9747C">
              <w:rPr>
                <w:rFonts w:ascii="Palatino Linotype" w:eastAsia="Calibri" w:hAnsi="Palatino Linotype" w:cs="Calibri"/>
                <w:color w:val="000000"/>
                <w:sz w:val="23"/>
                <w:szCs w:val="23"/>
                <w:lang w:val="en-IN" w:bidi="hi-IN"/>
              </w:rPr>
              <w:t>3,00,000</w:t>
            </w:r>
            <w:r>
              <w:rPr>
                <w:rFonts w:ascii="Palatino Linotype" w:eastAsia="Calibri" w:hAnsi="Palatino Linotype" w:cs="Calibri"/>
                <w:color w:val="000000"/>
                <w:sz w:val="23"/>
                <w:szCs w:val="23"/>
                <w:lang w:val="en-IN" w:bidi="hi-IN"/>
              </w:rPr>
              <w:t xml:space="preserve"> </w:t>
            </w:r>
          </w:p>
        </w:tc>
        <w:tc>
          <w:tcPr>
            <w:tcW w:w="1984" w:type="dxa"/>
            <w:tcBorders>
              <w:top w:val="nil"/>
              <w:left w:val="nil"/>
              <w:bottom w:val="single" w:sz="4" w:space="0" w:color="auto"/>
              <w:right w:val="single" w:sz="4" w:space="0" w:color="auto"/>
            </w:tcBorders>
            <w:shd w:val="clear" w:color="auto" w:fill="auto"/>
            <w:vAlign w:val="center"/>
            <w:hideMark/>
          </w:tcPr>
          <w:p w:rsidR="001D093A" w:rsidRPr="00F9747C" w:rsidRDefault="001D093A" w:rsidP="001328D4">
            <w:pPr>
              <w:jc w:val="both"/>
              <w:rPr>
                <w:rFonts w:ascii="Palatino Linotype" w:hAnsi="Palatino Linotype" w:cs="Calibri"/>
                <w:color w:val="000000"/>
                <w:sz w:val="23"/>
                <w:szCs w:val="23"/>
                <w:lang w:val="en-IN" w:eastAsia="en-IN" w:bidi="hi-IN"/>
              </w:rPr>
            </w:pPr>
            <w:r w:rsidRPr="00F9747C">
              <w:rPr>
                <w:rFonts w:ascii="Palatino Linotype" w:hAnsi="Palatino Linotype" w:cs="Calibri"/>
                <w:color w:val="000000"/>
                <w:sz w:val="23"/>
                <w:szCs w:val="23"/>
                <w:lang w:val="en-IN" w:eastAsia="en-IN" w:bidi="hi-IN"/>
              </w:rPr>
              <w:t>Embassy Property Development Private Limited</w:t>
            </w:r>
          </w:p>
        </w:tc>
        <w:tc>
          <w:tcPr>
            <w:tcW w:w="3260" w:type="dxa"/>
            <w:tcBorders>
              <w:top w:val="nil"/>
              <w:left w:val="nil"/>
              <w:bottom w:val="single" w:sz="4" w:space="0" w:color="auto"/>
              <w:right w:val="single" w:sz="4" w:space="0" w:color="auto"/>
            </w:tcBorders>
            <w:shd w:val="clear" w:color="auto" w:fill="auto"/>
            <w:noWrap/>
            <w:vAlign w:val="center"/>
            <w:hideMark/>
          </w:tcPr>
          <w:p w:rsidR="001D093A" w:rsidRPr="00F9747C" w:rsidRDefault="001D093A" w:rsidP="001328D4">
            <w:pPr>
              <w:spacing w:after="160" w:line="259" w:lineRule="auto"/>
              <w:rPr>
                <w:rFonts w:ascii="Palatino Linotype" w:eastAsia="Calibri" w:hAnsi="Palatino Linotype" w:cs="Calibri"/>
                <w:color w:val="000000"/>
                <w:sz w:val="23"/>
                <w:szCs w:val="23"/>
                <w:lang w:val="en-IN" w:bidi="hi-IN"/>
              </w:rPr>
            </w:pPr>
            <w:r w:rsidRPr="00F9747C">
              <w:rPr>
                <w:rFonts w:ascii="Palatino Linotype" w:hAnsi="Palatino Linotype" w:cs="Calibri"/>
                <w:color w:val="000000"/>
                <w:sz w:val="23"/>
                <w:szCs w:val="23"/>
                <w:lang w:val="en-IN" w:eastAsia="en-IN" w:bidi="hi-IN"/>
              </w:rPr>
              <w:t>Regulation 52 (1), 52(4) and 52(5) of SEBI (Listing Obligations and Disclosure Requirements) Regulations, 2015 -Disclosures</w:t>
            </w:r>
          </w:p>
        </w:tc>
      </w:tr>
    </w:tbl>
    <w:p w:rsidR="00272724" w:rsidRDefault="00272724" w:rsidP="00272724">
      <w:pPr>
        <w:pStyle w:val="ListParagraph"/>
        <w:rPr>
          <w:rFonts w:ascii="Garamond" w:hAnsi="Garamond"/>
          <w:sz w:val="24"/>
          <w:szCs w:val="24"/>
        </w:rPr>
      </w:pPr>
    </w:p>
    <w:p w:rsidR="001A0B06" w:rsidRDefault="001A0B06" w:rsidP="001A0B06">
      <w:pPr>
        <w:spacing w:line="276" w:lineRule="auto"/>
        <w:contextualSpacing/>
        <w:jc w:val="both"/>
        <w:rPr>
          <w:rFonts w:ascii="Palatino Linotype" w:eastAsia="Calibri" w:hAnsi="Palatino Linotype"/>
          <w:lang w:val="en-US"/>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Disclaimer: 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39"/>
      <w:headerReference w:type="default" r:id="rId40"/>
      <w:footerReference w:type="even" r:id="rId41"/>
      <w:footerReference w:type="default" r:id="rId42"/>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60E" w:rsidRDefault="00B0260E" w:rsidP="00E07645">
      <w:r>
        <w:separator/>
      </w:r>
    </w:p>
  </w:endnote>
  <w:endnote w:type="continuationSeparator" w:id="0">
    <w:p w:rsidR="00B0260E" w:rsidRDefault="00B0260E"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FDF" w:rsidRDefault="00932FDF">
    <w:pPr>
      <w:pStyle w:val="Footer"/>
    </w:pPr>
  </w:p>
  <w:p w:rsidR="00932FDF" w:rsidRDefault="00932FD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932FDF" w:rsidRDefault="00932FDF">
        <w:pPr>
          <w:pStyle w:val="Footer"/>
          <w:pBdr>
            <w:top w:val="single" w:sz="4" w:space="1" w:color="D9D9D9" w:themeColor="background1" w:themeShade="D9"/>
          </w:pBdr>
          <w:jc w:val="right"/>
        </w:pPr>
        <w:r>
          <w:fldChar w:fldCharType="begin"/>
        </w:r>
        <w:r>
          <w:instrText xml:space="preserve"> PAGE   \* MERGEFORMAT </w:instrText>
        </w:r>
        <w:r>
          <w:fldChar w:fldCharType="separate"/>
        </w:r>
        <w:r w:rsidR="00245155">
          <w:rPr>
            <w:noProof/>
          </w:rPr>
          <w:t>1</w:t>
        </w:r>
        <w:r>
          <w:rPr>
            <w:noProof/>
          </w:rPr>
          <w:fldChar w:fldCharType="end"/>
        </w:r>
        <w:r>
          <w:t xml:space="preserve"> | </w:t>
        </w:r>
        <w:r>
          <w:rPr>
            <w:color w:val="7F7F7F" w:themeColor="background1" w:themeShade="7F"/>
            <w:spacing w:val="60"/>
          </w:rPr>
          <w:t>Page</w:t>
        </w:r>
      </w:p>
    </w:sdtContent>
  </w:sdt>
  <w:p w:rsidR="00932FDF" w:rsidRDefault="00932FDF">
    <w:pPr>
      <w:pStyle w:val="Footer"/>
    </w:pPr>
  </w:p>
  <w:p w:rsidR="00932FDF" w:rsidRDefault="00932FD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60E" w:rsidRDefault="00B0260E" w:rsidP="00E07645">
      <w:r>
        <w:separator/>
      </w:r>
    </w:p>
  </w:footnote>
  <w:footnote w:type="continuationSeparator" w:id="0">
    <w:p w:rsidR="00B0260E" w:rsidRDefault="00B0260E" w:rsidP="00E07645">
      <w:r>
        <w:continuationSeparator/>
      </w:r>
    </w:p>
  </w:footnote>
  <w:footnote w:id="1">
    <w:p w:rsidR="00932FDF" w:rsidRDefault="00932FDF" w:rsidP="00DD68D0">
      <w:pPr>
        <w:pStyle w:val="FootnoteText"/>
      </w:pPr>
      <w:r>
        <w:rPr>
          <w:rStyle w:val="FootnoteReference"/>
        </w:rPr>
        <w:footnoteRef/>
      </w:r>
      <w:r>
        <w:t xml:space="preserve"> Monthly turnover considers Notional turnover in case of Options Contracts</w:t>
      </w:r>
    </w:p>
  </w:footnote>
  <w:footnote w:id="2">
    <w:p w:rsidR="00932FDF" w:rsidRPr="005B5517" w:rsidRDefault="00932FDF" w:rsidP="00DD68D0">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3">
    <w:p w:rsidR="000B2BC5" w:rsidRDefault="000B2BC5" w:rsidP="000B2BC5">
      <w:pPr>
        <w:pStyle w:val="FootnoteText"/>
      </w:pPr>
      <w:r>
        <w:rPr>
          <w:rStyle w:val="FootnoteReference"/>
        </w:rPr>
        <w:footnoteRef/>
      </w:r>
      <w:r>
        <w:t xml:space="preserve"> Based on data available on World Federation of Exchanges as on 13 November, 2020. BSE data from WFE has not been included as BSE is no longer providing data to WFE since June 2019.</w:t>
      </w:r>
    </w:p>
  </w:footnote>
  <w:footnote w:id="4">
    <w:p w:rsidR="000B2BC5" w:rsidRDefault="000B2BC5" w:rsidP="000B2BC5">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5">
    <w:p w:rsidR="000B2BC5" w:rsidRDefault="000B2BC5" w:rsidP="000B2BC5">
      <w:pPr>
        <w:pStyle w:val="FootnoteText"/>
      </w:pPr>
      <w:r>
        <w:rPr>
          <w:rStyle w:val="FootnoteReference"/>
        </w:rPr>
        <w:footnoteRef/>
      </w:r>
      <w:r>
        <w:t xml:space="preserve"> Germany, Spain, USA, UK, Japan, India, China, Brazil and Russia.</w:t>
      </w:r>
    </w:p>
  </w:footnote>
  <w:footnote w:id="6">
    <w:p w:rsidR="000B2BC5" w:rsidRDefault="000B2BC5" w:rsidP="000B2BC5">
      <w:pPr>
        <w:pStyle w:val="FootnoteText"/>
      </w:pPr>
      <w:r>
        <w:rPr>
          <w:rStyle w:val="FootnoteReference"/>
        </w:rPr>
        <w:footnoteRef/>
      </w:r>
      <w:r>
        <w:t xml:space="preserve"> Data available on as on 12</w:t>
      </w:r>
      <w:r w:rsidRPr="00AB2F55">
        <w:rPr>
          <w:vertAlign w:val="superscript"/>
        </w:rPr>
        <w:t>th</w:t>
      </w:r>
      <w:r>
        <w:t xml:space="preserve"> Dec 2020 on WFE as submitted by exchanges which are members of WFE,</w:t>
      </w:r>
    </w:p>
  </w:footnote>
  <w:footnote w:id="7">
    <w:p w:rsidR="000B2BC5" w:rsidRDefault="000B2BC5" w:rsidP="000B2BC5">
      <w:pPr>
        <w:pStyle w:val="FootnoteText"/>
      </w:pPr>
      <w:r>
        <w:rPr>
          <w:rStyle w:val="FootnoteReference"/>
        </w:rPr>
        <w:footnoteRef/>
      </w:r>
      <w:r>
        <w:t xml:space="preserve"> USA, UK, Germany, France, Japan, Singapore, Hong Kong, China, Russia, India, S. Korea and Australia.</w:t>
      </w:r>
    </w:p>
  </w:footnote>
  <w:footnote w:id="8">
    <w:p w:rsidR="000B2BC5" w:rsidRDefault="000B2BC5" w:rsidP="000B2BC5">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FDF" w:rsidRDefault="00932FDF">
    <w:pPr>
      <w:pStyle w:val="Header"/>
    </w:pPr>
  </w:p>
  <w:p w:rsidR="00932FDF" w:rsidRDefault="00932FD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FDF" w:rsidRDefault="00932FDF">
    <w:pPr>
      <w:pStyle w:val="Header"/>
    </w:pPr>
  </w:p>
  <w:p w:rsidR="00932FDF" w:rsidRDefault="00932F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18"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97F73"/>
    <w:multiLevelType w:val="hybridMultilevel"/>
    <w:tmpl w:val="E304D7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29"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31"/>
  </w:num>
  <w:num w:numId="3">
    <w:abstractNumId w:val="25"/>
  </w:num>
  <w:num w:numId="4">
    <w:abstractNumId w:val="7"/>
  </w:num>
  <w:num w:numId="5">
    <w:abstractNumId w:val="5"/>
  </w:num>
  <w:num w:numId="6">
    <w:abstractNumId w:val="27"/>
  </w:num>
  <w:num w:numId="7">
    <w:abstractNumId w:val="29"/>
  </w:num>
  <w:num w:numId="8">
    <w:abstractNumId w:val="18"/>
  </w:num>
  <w:num w:numId="9">
    <w:abstractNumId w:val="14"/>
  </w:num>
  <w:num w:numId="10">
    <w:abstractNumId w:val="10"/>
  </w:num>
  <w:num w:numId="11">
    <w:abstractNumId w:val="23"/>
  </w:num>
  <w:num w:numId="12">
    <w:abstractNumId w:val="32"/>
  </w:num>
  <w:num w:numId="13">
    <w:abstractNumId w:val="3"/>
  </w:num>
  <w:num w:numId="14">
    <w:abstractNumId w:val="1"/>
  </w:num>
  <w:num w:numId="15">
    <w:abstractNumId w:val="2"/>
  </w:num>
  <w:num w:numId="16">
    <w:abstractNumId w:val="0"/>
  </w:num>
  <w:num w:numId="17">
    <w:abstractNumId w:val="4"/>
  </w:num>
  <w:num w:numId="18">
    <w:abstractNumId w:val="15"/>
  </w:num>
  <w:num w:numId="19">
    <w:abstractNumId w:val="16"/>
  </w:num>
  <w:num w:numId="20">
    <w:abstractNumId w:val="8"/>
  </w:num>
  <w:num w:numId="21">
    <w:abstractNumId w:val="20"/>
  </w:num>
  <w:num w:numId="22">
    <w:abstractNumId w:val="26"/>
  </w:num>
  <w:num w:numId="23">
    <w:abstractNumId w:val="11"/>
  </w:num>
  <w:num w:numId="24">
    <w:abstractNumId w:val="21"/>
  </w:num>
  <w:num w:numId="25">
    <w:abstractNumId w:val="22"/>
  </w:num>
  <w:num w:numId="26">
    <w:abstractNumId w:val="12"/>
  </w:num>
  <w:num w:numId="27">
    <w:abstractNumId w:val="13"/>
  </w:num>
  <w:num w:numId="28">
    <w:abstractNumId w:val="30"/>
  </w:num>
  <w:num w:numId="29">
    <w:abstractNumId w:val="17"/>
  </w:num>
  <w:num w:numId="30">
    <w:abstractNumId w:val="28"/>
  </w:num>
  <w:num w:numId="31">
    <w:abstractNumId w:val="24"/>
  </w:num>
  <w:num w:numId="32">
    <w:abstractNumId w:val="9"/>
  </w:num>
  <w:num w:numId="33">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7D3C"/>
    <w:rsid w:val="00062D7C"/>
    <w:rsid w:val="00062F4A"/>
    <w:rsid w:val="00063FF5"/>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34B6"/>
    <w:rsid w:val="000A37CE"/>
    <w:rsid w:val="000A47E6"/>
    <w:rsid w:val="000A4D70"/>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2FD5"/>
    <w:rsid w:val="000D4C7F"/>
    <w:rsid w:val="000D66B0"/>
    <w:rsid w:val="000E03A6"/>
    <w:rsid w:val="000E0833"/>
    <w:rsid w:val="000E0D86"/>
    <w:rsid w:val="000E125F"/>
    <w:rsid w:val="000E1FA1"/>
    <w:rsid w:val="000E33A1"/>
    <w:rsid w:val="000E3746"/>
    <w:rsid w:val="000E3A95"/>
    <w:rsid w:val="000E46BB"/>
    <w:rsid w:val="000E4795"/>
    <w:rsid w:val="000E4C9B"/>
    <w:rsid w:val="000E7329"/>
    <w:rsid w:val="000E76D0"/>
    <w:rsid w:val="000E76FF"/>
    <w:rsid w:val="000E777A"/>
    <w:rsid w:val="000F02FB"/>
    <w:rsid w:val="000F0612"/>
    <w:rsid w:val="000F0BF4"/>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977"/>
    <w:rsid w:val="00175A49"/>
    <w:rsid w:val="00175C02"/>
    <w:rsid w:val="00177824"/>
    <w:rsid w:val="00177BD1"/>
    <w:rsid w:val="00177C4A"/>
    <w:rsid w:val="0018049A"/>
    <w:rsid w:val="001816BF"/>
    <w:rsid w:val="0018197C"/>
    <w:rsid w:val="00182965"/>
    <w:rsid w:val="0018378C"/>
    <w:rsid w:val="001847A1"/>
    <w:rsid w:val="00184C5B"/>
    <w:rsid w:val="00184D09"/>
    <w:rsid w:val="0018502D"/>
    <w:rsid w:val="001868D6"/>
    <w:rsid w:val="00186E61"/>
    <w:rsid w:val="001912C3"/>
    <w:rsid w:val="00191B9C"/>
    <w:rsid w:val="0019305B"/>
    <w:rsid w:val="001932A2"/>
    <w:rsid w:val="00193EFB"/>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093A"/>
    <w:rsid w:val="001D1729"/>
    <w:rsid w:val="001D2CA3"/>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155"/>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41CD"/>
    <w:rsid w:val="002F70EB"/>
    <w:rsid w:val="002F71DF"/>
    <w:rsid w:val="0030004F"/>
    <w:rsid w:val="00300262"/>
    <w:rsid w:val="00301C6A"/>
    <w:rsid w:val="0030208E"/>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DAD"/>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A95"/>
    <w:rsid w:val="003F537A"/>
    <w:rsid w:val="003F5475"/>
    <w:rsid w:val="003F560E"/>
    <w:rsid w:val="003F5A24"/>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2441"/>
    <w:rsid w:val="00512785"/>
    <w:rsid w:val="00513E19"/>
    <w:rsid w:val="0051508B"/>
    <w:rsid w:val="00515FF5"/>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1F07"/>
    <w:rsid w:val="00573059"/>
    <w:rsid w:val="00574D67"/>
    <w:rsid w:val="00575F0D"/>
    <w:rsid w:val="00576EC5"/>
    <w:rsid w:val="0058047E"/>
    <w:rsid w:val="00580563"/>
    <w:rsid w:val="005805C0"/>
    <w:rsid w:val="00580980"/>
    <w:rsid w:val="00580E45"/>
    <w:rsid w:val="0058176C"/>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00E"/>
    <w:rsid w:val="005B5428"/>
    <w:rsid w:val="005B5BF1"/>
    <w:rsid w:val="005B5C45"/>
    <w:rsid w:val="005B7799"/>
    <w:rsid w:val="005C0C45"/>
    <w:rsid w:val="005C1A9B"/>
    <w:rsid w:val="005C1AF4"/>
    <w:rsid w:val="005C375D"/>
    <w:rsid w:val="005C4914"/>
    <w:rsid w:val="005C5303"/>
    <w:rsid w:val="005C5499"/>
    <w:rsid w:val="005C6219"/>
    <w:rsid w:val="005C6540"/>
    <w:rsid w:val="005C7FB6"/>
    <w:rsid w:val="005D07CE"/>
    <w:rsid w:val="005D10C7"/>
    <w:rsid w:val="005D397F"/>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B5C"/>
    <w:rsid w:val="005F3D2C"/>
    <w:rsid w:val="005F443A"/>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902D1"/>
    <w:rsid w:val="00690A86"/>
    <w:rsid w:val="00690B95"/>
    <w:rsid w:val="00691339"/>
    <w:rsid w:val="00692DA4"/>
    <w:rsid w:val="00694264"/>
    <w:rsid w:val="00694899"/>
    <w:rsid w:val="00695284"/>
    <w:rsid w:val="0069528D"/>
    <w:rsid w:val="00695903"/>
    <w:rsid w:val="00697250"/>
    <w:rsid w:val="00697927"/>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25EE"/>
    <w:rsid w:val="00722972"/>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78DE"/>
    <w:rsid w:val="007A291E"/>
    <w:rsid w:val="007A54BA"/>
    <w:rsid w:val="007A583C"/>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79"/>
    <w:rsid w:val="007E363D"/>
    <w:rsid w:val="007E41CF"/>
    <w:rsid w:val="007E42E3"/>
    <w:rsid w:val="007E5DD0"/>
    <w:rsid w:val="007E60FA"/>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6673"/>
    <w:rsid w:val="00926FCA"/>
    <w:rsid w:val="009271A2"/>
    <w:rsid w:val="0093027F"/>
    <w:rsid w:val="0093151B"/>
    <w:rsid w:val="00931738"/>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972B4"/>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A00155"/>
    <w:rsid w:val="00A01043"/>
    <w:rsid w:val="00A0126B"/>
    <w:rsid w:val="00A01720"/>
    <w:rsid w:val="00A02454"/>
    <w:rsid w:val="00A02548"/>
    <w:rsid w:val="00A02D52"/>
    <w:rsid w:val="00A03A7D"/>
    <w:rsid w:val="00A03B4A"/>
    <w:rsid w:val="00A04AA5"/>
    <w:rsid w:val="00A072C1"/>
    <w:rsid w:val="00A07B14"/>
    <w:rsid w:val="00A113B3"/>
    <w:rsid w:val="00A11694"/>
    <w:rsid w:val="00A12F12"/>
    <w:rsid w:val="00A134B2"/>
    <w:rsid w:val="00A139E6"/>
    <w:rsid w:val="00A14C28"/>
    <w:rsid w:val="00A16061"/>
    <w:rsid w:val="00A16582"/>
    <w:rsid w:val="00A16772"/>
    <w:rsid w:val="00A16E83"/>
    <w:rsid w:val="00A17085"/>
    <w:rsid w:val="00A2036F"/>
    <w:rsid w:val="00A21509"/>
    <w:rsid w:val="00A22BC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258C"/>
    <w:rsid w:val="00A526BF"/>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1456"/>
    <w:rsid w:val="00B114A3"/>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A59"/>
    <w:rsid w:val="00B23BDF"/>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2E5E"/>
    <w:rsid w:val="00CE3F98"/>
    <w:rsid w:val="00CE4A4A"/>
    <w:rsid w:val="00CE4B31"/>
    <w:rsid w:val="00CE5886"/>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4282"/>
    <w:rsid w:val="00DF4DB1"/>
    <w:rsid w:val="00DF4F75"/>
    <w:rsid w:val="00DF61AF"/>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C48"/>
    <w:rsid w:val="00E23764"/>
    <w:rsid w:val="00E25497"/>
    <w:rsid w:val="00E25BD9"/>
    <w:rsid w:val="00E26147"/>
    <w:rsid w:val="00E2730C"/>
    <w:rsid w:val="00E32479"/>
    <w:rsid w:val="00E324A0"/>
    <w:rsid w:val="00E32E2A"/>
    <w:rsid w:val="00E3342C"/>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5332"/>
    <w:rsid w:val="00E7624D"/>
    <w:rsid w:val="00E8001E"/>
    <w:rsid w:val="00E808D0"/>
    <w:rsid w:val="00E80A7D"/>
    <w:rsid w:val="00E8251D"/>
    <w:rsid w:val="00E8490D"/>
    <w:rsid w:val="00E85B1B"/>
    <w:rsid w:val="00E86EA2"/>
    <w:rsid w:val="00E87E37"/>
    <w:rsid w:val="00E90138"/>
    <w:rsid w:val="00E92CFD"/>
    <w:rsid w:val="00E933DC"/>
    <w:rsid w:val="00E94C05"/>
    <w:rsid w:val="00E94CA0"/>
    <w:rsid w:val="00E9744A"/>
    <w:rsid w:val="00E974CF"/>
    <w:rsid w:val="00E97AE2"/>
    <w:rsid w:val="00EA169B"/>
    <w:rsid w:val="00EA26A1"/>
    <w:rsid w:val="00EA4711"/>
    <w:rsid w:val="00EA538F"/>
    <w:rsid w:val="00EA5938"/>
    <w:rsid w:val="00EA5A39"/>
    <w:rsid w:val="00EA5B35"/>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9B1"/>
    <w:rsid w:val="00F368EA"/>
    <w:rsid w:val="00F378C2"/>
    <w:rsid w:val="00F37BB4"/>
    <w:rsid w:val="00F42930"/>
    <w:rsid w:val="00F42B5D"/>
    <w:rsid w:val="00F42F9E"/>
    <w:rsid w:val="00F437A5"/>
    <w:rsid w:val="00F43DB2"/>
    <w:rsid w:val="00F45A36"/>
    <w:rsid w:val="00F4639C"/>
    <w:rsid w:val="00F47CE2"/>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4546"/>
    <w:rsid w:val="00FA504E"/>
    <w:rsid w:val="00FA5150"/>
    <w:rsid w:val="00FB2E1D"/>
    <w:rsid w:val="00FB365C"/>
    <w:rsid w:val="00FB4843"/>
    <w:rsid w:val="00FB5B4E"/>
    <w:rsid w:val="00FB5F3F"/>
    <w:rsid w:val="00FB6D7A"/>
    <w:rsid w:val="00FB7313"/>
    <w:rsid w:val="00FC0A85"/>
    <w:rsid w:val="00FC1063"/>
    <w:rsid w:val="00FC1AD5"/>
    <w:rsid w:val="00FC1D6F"/>
    <w:rsid w:val="00FC2E6C"/>
    <w:rsid w:val="00FC2FA1"/>
    <w:rsid w:val="00FC2FF6"/>
    <w:rsid w:val="00FC3171"/>
    <w:rsid w:val="00FC57AE"/>
    <w:rsid w:val="00FC5D27"/>
    <w:rsid w:val="00FC5E32"/>
    <w:rsid w:val="00FC60B4"/>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lletin@sebi.gov.in"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eader" Target="header1.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image" Target="media/image2.png"/><Relationship Id="rId37" Type="http://schemas.openxmlformats.org/officeDocument/2006/relationships/hyperlink" Target="https://www.iosco.org/news/pdf/IOSCONEWS584.pdf"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sebi.gov.in"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hyperlink" Target="https://www.iosco.org/news/pdf/IOSCONEWS587.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snap\sebi_backup_data\Akriti\2020-21\Capital%20market%20review\2020\December\CMR%20Tables%20for%20dec%20202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snap\sebi_backup_data\Akriti\2020-21\Capital%20market%20review\2020\December\CMR%20Tables%20for%20dec%202020.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201\Desktop\Month-wise%20Bulletin\Bulletin%20Jan.2020%20to%20Dec.%202020\Dec.%202020\Graphs%20%20data%20for%20bulletin%20Dec.%20%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201\Desktop\Month-wise%20Bulletin\Bulletin%20Jan.2020%20to%20Dec.%202020\Dec.%202020\Graphs%20%20data%20for%20bulletin%20Dec.%20%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201\Desktop\Month-wise%20Bulletin\Bulletin%20Jan.2020%20to%20Dec.%202020\Dec.%202020\Graphs%20%20data%20for%20bulletin%20Dec.%20%20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201\Desktop\Month-wise%20Bulletin\Bulletin%20Jan.2020%20to%20Dec.%202020\Dec.%202020\Graphs%20%20data%20for%20bulletin%20Dec.%20%20202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SUMIT%20DATA\01.%20Monthly%20Bulletin\00.%20Working\01.%20Global%20Review\01%20Working%20File%20V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SUMIT%20DATA\01.%20Monthly%20Bulletin\00.%20Working\01.%20Global%20Review\01%20Working%20File%20V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nap\sebi_backup_data\Akriti\2020-21\Capital%20market%20review\2020\December\CMR%20Tables%20for%20dec%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snap\sebi_backup_data\Akriti\2020-21\Capital%20market%20review\2020\December\CMR%20Tables%20for%20dec%20202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snap\sebi_backup_data\Akriti\2020-21\Capital%20market%20review\2020\December\CMR%20Tables%20for%20dec%2020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snap\sebi_backup_data\Akriti\2020-21\Capital%20market%20review\2020\December\CMR%20Tables%20for%20dec%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'F1'!$B$3</c:f>
              <c:strCache>
                <c:ptCount val="1"/>
                <c:pt idx="0">
                  <c:v>Nifty 50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'F1'!$A$4:$A$25</c:f>
              <c:numCache>
                <c:formatCode>d\-mmm\-yy</c:formatCode>
                <c:ptCount val="22"/>
                <c:pt idx="0">
                  <c:v>44166</c:v>
                </c:pt>
                <c:pt idx="1">
                  <c:v>44167</c:v>
                </c:pt>
                <c:pt idx="2">
                  <c:v>44168</c:v>
                </c:pt>
                <c:pt idx="3">
                  <c:v>44169</c:v>
                </c:pt>
                <c:pt idx="4">
                  <c:v>44172</c:v>
                </c:pt>
                <c:pt idx="5">
                  <c:v>44173</c:v>
                </c:pt>
                <c:pt idx="6">
                  <c:v>44174</c:v>
                </c:pt>
                <c:pt idx="7">
                  <c:v>44175</c:v>
                </c:pt>
                <c:pt idx="8">
                  <c:v>44176</c:v>
                </c:pt>
                <c:pt idx="9">
                  <c:v>44179</c:v>
                </c:pt>
                <c:pt idx="10">
                  <c:v>44180</c:v>
                </c:pt>
                <c:pt idx="11">
                  <c:v>44181</c:v>
                </c:pt>
                <c:pt idx="12">
                  <c:v>44182</c:v>
                </c:pt>
                <c:pt idx="13">
                  <c:v>44183</c:v>
                </c:pt>
                <c:pt idx="14">
                  <c:v>44186</c:v>
                </c:pt>
                <c:pt idx="15">
                  <c:v>44187</c:v>
                </c:pt>
                <c:pt idx="16">
                  <c:v>44188</c:v>
                </c:pt>
                <c:pt idx="17">
                  <c:v>44189</c:v>
                </c:pt>
                <c:pt idx="18">
                  <c:v>44193</c:v>
                </c:pt>
                <c:pt idx="19">
                  <c:v>44194</c:v>
                </c:pt>
                <c:pt idx="20">
                  <c:v>44195</c:v>
                </c:pt>
                <c:pt idx="21">
                  <c:v>44196</c:v>
                </c:pt>
              </c:numCache>
            </c:numRef>
          </c:cat>
          <c:val>
            <c:numRef>
              <c:f>'F1'!$B$4:$B$25</c:f>
            </c:numRef>
          </c:val>
          <c:smooth val="0"/>
          <c:extLst>
            <c:ext xmlns:c16="http://schemas.microsoft.com/office/drawing/2014/chart" uri="{C3380CC4-5D6E-409C-BE32-E72D297353CC}">
              <c16:uniqueId val="{00000000-34AF-4D53-A818-B3ED651835C8}"/>
            </c:ext>
          </c:extLst>
        </c:ser>
        <c:ser>
          <c:idx val="1"/>
          <c:order val="1"/>
          <c:tx>
            <c:strRef>
              <c:f>'F1'!$C$3</c:f>
              <c:strCache>
                <c:ptCount val="1"/>
                <c:pt idx="0">
                  <c:v>Sensex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'F1'!$A$4:$A$25</c:f>
              <c:numCache>
                <c:formatCode>d\-mmm\-yy</c:formatCode>
                <c:ptCount val="22"/>
                <c:pt idx="0">
                  <c:v>44166</c:v>
                </c:pt>
                <c:pt idx="1">
                  <c:v>44167</c:v>
                </c:pt>
                <c:pt idx="2">
                  <c:v>44168</c:v>
                </c:pt>
                <c:pt idx="3">
                  <c:v>44169</c:v>
                </c:pt>
                <c:pt idx="4">
                  <c:v>44172</c:v>
                </c:pt>
                <c:pt idx="5">
                  <c:v>44173</c:v>
                </c:pt>
                <c:pt idx="6">
                  <c:v>44174</c:v>
                </c:pt>
                <c:pt idx="7">
                  <c:v>44175</c:v>
                </c:pt>
                <c:pt idx="8">
                  <c:v>44176</c:v>
                </c:pt>
                <c:pt idx="9">
                  <c:v>44179</c:v>
                </c:pt>
                <c:pt idx="10">
                  <c:v>44180</c:v>
                </c:pt>
                <c:pt idx="11">
                  <c:v>44181</c:v>
                </c:pt>
                <c:pt idx="12">
                  <c:v>44182</c:v>
                </c:pt>
                <c:pt idx="13">
                  <c:v>44183</c:v>
                </c:pt>
                <c:pt idx="14">
                  <c:v>44186</c:v>
                </c:pt>
                <c:pt idx="15">
                  <c:v>44187</c:v>
                </c:pt>
                <c:pt idx="16">
                  <c:v>44188</c:v>
                </c:pt>
                <c:pt idx="17">
                  <c:v>44189</c:v>
                </c:pt>
                <c:pt idx="18">
                  <c:v>44193</c:v>
                </c:pt>
                <c:pt idx="19">
                  <c:v>44194</c:v>
                </c:pt>
                <c:pt idx="20">
                  <c:v>44195</c:v>
                </c:pt>
                <c:pt idx="21">
                  <c:v>44196</c:v>
                </c:pt>
              </c:numCache>
            </c:numRef>
          </c:cat>
          <c:val>
            <c:numRef>
              <c:f>'F1'!$C$4:$C$25</c:f>
            </c:numRef>
          </c:val>
          <c:smooth val="0"/>
          <c:extLst>
            <c:ext xmlns:c16="http://schemas.microsoft.com/office/drawing/2014/chart" uri="{C3380CC4-5D6E-409C-BE32-E72D297353CC}">
              <c16:uniqueId val="{00000001-34AF-4D53-A818-B3ED651835C8}"/>
            </c:ext>
          </c:extLst>
        </c:ser>
        <c:ser>
          <c:idx val="2"/>
          <c:order val="2"/>
          <c:tx>
            <c:strRef>
              <c:f>'F1'!$D$3</c:f>
              <c:strCache>
                <c:ptCount val="1"/>
                <c:pt idx="0">
                  <c:v>Nifty 50 (%)</c:v>
                </c:pt>
              </c:strCache>
            </c:strRef>
          </c:tx>
          <c:spPr>
            <a:ln w="28575" cap="rnd">
              <a:solidFill>
                <a:schemeClr val="accent6"/>
              </a:solidFill>
              <a:round/>
            </a:ln>
            <a:effectLst/>
          </c:spPr>
          <c:marker>
            <c:symbol val="none"/>
          </c:marker>
          <c:cat>
            <c:numRef>
              <c:f>'F1'!$A$4:$A$25</c:f>
              <c:numCache>
                <c:formatCode>d\-mmm\-yy</c:formatCode>
                <c:ptCount val="22"/>
                <c:pt idx="0">
                  <c:v>44166</c:v>
                </c:pt>
                <c:pt idx="1">
                  <c:v>44167</c:v>
                </c:pt>
                <c:pt idx="2">
                  <c:v>44168</c:v>
                </c:pt>
                <c:pt idx="3">
                  <c:v>44169</c:v>
                </c:pt>
                <c:pt idx="4">
                  <c:v>44172</c:v>
                </c:pt>
                <c:pt idx="5">
                  <c:v>44173</c:v>
                </c:pt>
                <c:pt idx="6">
                  <c:v>44174</c:v>
                </c:pt>
                <c:pt idx="7">
                  <c:v>44175</c:v>
                </c:pt>
                <c:pt idx="8">
                  <c:v>44176</c:v>
                </c:pt>
                <c:pt idx="9">
                  <c:v>44179</c:v>
                </c:pt>
                <c:pt idx="10">
                  <c:v>44180</c:v>
                </c:pt>
                <c:pt idx="11">
                  <c:v>44181</c:v>
                </c:pt>
                <c:pt idx="12">
                  <c:v>44182</c:v>
                </c:pt>
                <c:pt idx="13">
                  <c:v>44183</c:v>
                </c:pt>
                <c:pt idx="14">
                  <c:v>44186</c:v>
                </c:pt>
                <c:pt idx="15">
                  <c:v>44187</c:v>
                </c:pt>
                <c:pt idx="16">
                  <c:v>44188</c:v>
                </c:pt>
                <c:pt idx="17">
                  <c:v>44189</c:v>
                </c:pt>
                <c:pt idx="18">
                  <c:v>44193</c:v>
                </c:pt>
                <c:pt idx="19">
                  <c:v>44194</c:v>
                </c:pt>
                <c:pt idx="20">
                  <c:v>44195</c:v>
                </c:pt>
                <c:pt idx="21">
                  <c:v>44196</c:v>
                </c:pt>
              </c:numCache>
            </c:numRef>
          </c:cat>
          <c:val>
            <c:numRef>
              <c:f>'F1'!$D$4:$D$25</c:f>
              <c:numCache>
                <c:formatCode>0.0</c:formatCode>
                <c:ptCount val="22"/>
                <c:pt idx="0">
                  <c:v>100</c:v>
                </c:pt>
                <c:pt idx="1">
                  <c:v>100.03585309385501</c:v>
                </c:pt>
                <c:pt idx="2">
                  <c:v>100.18956369836106</c:v>
                </c:pt>
                <c:pt idx="3">
                  <c:v>101.14043351730294</c:v>
                </c:pt>
                <c:pt idx="4">
                  <c:v>101.8819060114959</c:v>
                </c:pt>
                <c:pt idx="5">
                  <c:v>102.16567943519938</c:v>
                </c:pt>
                <c:pt idx="6">
                  <c:v>103.2042749093184</c:v>
                </c:pt>
                <c:pt idx="7">
                  <c:v>102.81675636297064</c:v>
                </c:pt>
                <c:pt idx="8">
                  <c:v>103.08794306223567</c:v>
                </c:pt>
                <c:pt idx="9">
                  <c:v>103.42587754261373</c:v>
                </c:pt>
                <c:pt idx="10">
                  <c:v>103.4998722256762</c:v>
                </c:pt>
                <c:pt idx="11">
                  <c:v>104.37598452977146</c:v>
                </c:pt>
                <c:pt idx="12">
                  <c:v>104.81842696457794</c:v>
                </c:pt>
                <c:pt idx="13">
                  <c:v>104.96984907373154</c:v>
                </c:pt>
                <c:pt idx="14">
                  <c:v>101.67327151853112</c:v>
                </c:pt>
                <c:pt idx="15">
                  <c:v>102.72521654887275</c:v>
                </c:pt>
                <c:pt idx="16">
                  <c:v>103.75351379390577</c:v>
                </c:pt>
                <c:pt idx="17">
                  <c:v>104.88364908212269</c:v>
                </c:pt>
                <c:pt idx="18">
                  <c:v>105.82917907857552</c:v>
                </c:pt>
                <c:pt idx="19">
                  <c:v>106.2823011583601</c:v>
                </c:pt>
                <c:pt idx="20">
                  <c:v>106.65875864383769</c:v>
                </c:pt>
                <c:pt idx="21">
                  <c:v>106.65723298026938</c:v>
                </c:pt>
              </c:numCache>
            </c:numRef>
          </c:val>
          <c:smooth val="0"/>
          <c:extLst>
            <c:ext xmlns:c16="http://schemas.microsoft.com/office/drawing/2014/chart" uri="{C3380CC4-5D6E-409C-BE32-E72D297353CC}">
              <c16:uniqueId val="{00000002-34AF-4D53-A818-B3ED651835C8}"/>
            </c:ext>
          </c:extLst>
        </c:ser>
        <c:ser>
          <c:idx val="3"/>
          <c:order val="3"/>
          <c:tx>
            <c:strRef>
              <c:f>'F1'!$E$3</c:f>
              <c:strCache>
                <c:ptCount val="1"/>
                <c:pt idx="0">
                  <c:v>S&amp;P BSE Sensex (%)</c:v>
                </c:pt>
              </c:strCache>
            </c:strRef>
          </c:tx>
          <c:spPr>
            <a:ln w="28575" cap="rnd">
              <a:solidFill>
                <a:schemeClr val="accent2">
                  <a:lumMod val="60000"/>
                </a:schemeClr>
              </a:solidFill>
              <a:round/>
            </a:ln>
            <a:effectLst/>
          </c:spPr>
          <c:marker>
            <c:symbol val="none"/>
          </c:marker>
          <c:cat>
            <c:numRef>
              <c:f>'F1'!$A$4:$A$25</c:f>
              <c:numCache>
                <c:formatCode>d\-mmm\-yy</c:formatCode>
                <c:ptCount val="22"/>
                <c:pt idx="0">
                  <c:v>44166</c:v>
                </c:pt>
                <c:pt idx="1">
                  <c:v>44167</c:v>
                </c:pt>
                <c:pt idx="2">
                  <c:v>44168</c:v>
                </c:pt>
                <c:pt idx="3">
                  <c:v>44169</c:v>
                </c:pt>
                <c:pt idx="4">
                  <c:v>44172</c:v>
                </c:pt>
                <c:pt idx="5">
                  <c:v>44173</c:v>
                </c:pt>
                <c:pt idx="6">
                  <c:v>44174</c:v>
                </c:pt>
                <c:pt idx="7">
                  <c:v>44175</c:v>
                </c:pt>
                <c:pt idx="8">
                  <c:v>44176</c:v>
                </c:pt>
                <c:pt idx="9">
                  <c:v>44179</c:v>
                </c:pt>
                <c:pt idx="10">
                  <c:v>44180</c:v>
                </c:pt>
                <c:pt idx="11">
                  <c:v>44181</c:v>
                </c:pt>
                <c:pt idx="12">
                  <c:v>44182</c:v>
                </c:pt>
                <c:pt idx="13">
                  <c:v>44183</c:v>
                </c:pt>
                <c:pt idx="14">
                  <c:v>44186</c:v>
                </c:pt>
                <c:pt idx="15">
                  <c:v>44187</c:v>
                </c:pt>
                <c:pt idx="16">
                  <c:v>44188</c:v>
                </c:pt>
                <c:pt idx="17">
                  <c:v>44189</c:v>
                </c:pt>
                <c:pt idx="18">
                  <c:v>44193</c:v>
                </c:pt>
                <c:pt idx="19">
                  <c:v>44194</c:v>
                </c:pt>
                <c:pt idx="20">
                  <c:v>44195</c:v>
                </c:pt>
                <c:pt idx="21">
                  <c:v>44196</c:v>
                </c:pt>
              </c:numCache>
            </c:numRef>
          </c:cat>
          <c:val>
            <c:numRef>
              <c:f>'F1'!$E$4:$E$25</c:f>
              <c:numCache>
                <c:formatCode>0.0</c:formatCode>
                <c:ptCount val="22"/>
                <c:pt idx="0" formatCode="0">
                  <c:v>100</c:v>
                </c:pt>
                <c:pt idx="1">
                  <c:v>99.916247606114723</c:v>
                </c:pt>
                <c:pt idx="2">
                  <c:v>99.948964784581676</c:v>
                </c:pt>
                <c:pt idx="3">
                  <c:v>100.94973871044603</c:v>
                </c:pt>
                <c:pt idx="4">
                  <c:v>101.72774022605083</c:v>
                </c:pt>
                <c:pt idx="5">
                  <c:v>102.13427524171746</c:v>
                </c:pt>
                <c:pt idx="6">
                  <c:v>103.24274041415781</c:v>
                </c:pt>
                <c:pt idx="7">
                  <c:v>102.92112226416309</c:v>
                </c:pt>
                <c:pt idx="8">
                  <c:v>103.23268564815395</c:v>
                </c:pt>
                <c:pt idx="9">
                  <c:v>103.57855616247426</c:v>
                </c:pt>
                <c:pt idx="10">
                  <c:v>103.60030043372095</c:v>
                </c:pt>
                <c:pt idx="11">
                  <c:v>104.50341548532496</c:v>
                </c:pt>
                <c:pt idx="12">
                  <c:v>105.00476537684995</c:v>
                </c:pt>
                <c:pt idx="13">
                  <c:v>105.16230497336946</c:v>
                </c:pt>
                <c:pt idx="14">
                  <c:v>102.01211767256132</c:v>
                </c:pt>
                <c:pt idx="15">
                  <c:v>103.02594711864897</c:v>
                </c:pt>
                <c:pt idx="16">
                  <c:v>104.00564858391277</c:v>
                </c:pt>
                <c:pt idx="17">
                  <c:v>105.1910808627124</c:v>
                </c:pt>
                <c:pt idx="18">
                  <c:v>106.04251128194015</c:v>
                </c:pt>
                <c:pt idx="19">
                  <c:v>106.6232467981505</c:v>
                </c:pt>
                <c:pt idx="20">
                  <c:v>106.92139636290678</c:v>
                </c:pt>
                <c:pt idx="21">
                  <c:v>106.93283953757933</c:v>
                </c:pt>
              </c:numCache>
            </c:numRef>
          </c:val>
          <c:smooth val="0"/>
          <c:extLst>
            <c:ext xmlns:c16="http://schemas.microsoft.com/office/drawing/2014/chart" uri="{C3380CC4-5D6E-409C-BE32-E72D297353CC}">
              <c16:uniqueId val="{00000003-34AF-4D53-A818-B3ED651835C8}"/>
            </c:ext>
          </c:extLst>
        </c:ser>
        <c:dLbls>
          <c:showLegendKey val="0"/>
          <c:showVal val="0"/>
          <c:showCatName val="0"/>
          <c:showSerName val="0"/>
          <c:showPercent val="0"/>
          <c:showBubbleSize val="0"/>
        </c:dLbls>
        <c:smooth val="0"/>
        <c:axId val="272221184"/>
        <c:axId val="272232416"/>
      </c:lineChart>
      <c:dateAx>
        <c:axId val="272221184"/>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232416"/>
        <c:crosses val="autoZero"/>
        <c:auto val="1"/>
        <c:lblOffset val="100"/>
        <c:baseTimeUnit val="days"/>
      </c:dateAx>
      <c:valAx>
        <c:axId val="272232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22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0.16281381169766232"/>
          <c:w val="0.93251912442983453"/>
          <c:h val="0.53971621567608619"/>
        </c:manualLayout>
      </c:layout>
      <c:barChart>
        <c:barDir val="col"/>
        <c:grouping val="clustered"/>
        <c:varyColors val="0"/>
        <c:ser>
          <c:idx val="0"/>
          <c:order val="0"/>
          <c:tx>
            <c:strRef>
              <c:f>'F10'!$B$2</c:f>
              <c:strCache>
                <c:ptCount val="1"/>
                <c:pt idx="0">
                  <c:v>BSE</c:v>
                </c:pt>
              </c:strCache>
            </c:strRef>
          </c:tx>
          <c:spPr>
            <a:solidFill>
              <a:srgbClr val="00B050"/>
            </a:solidFill>
            <a:ln>
              <a:solidFill>
                <a:schemeClr val="accent3">
                  <a:lumMod val="75000"/>
                </a:schemeClr>
              </a:solidFill>
            </a:ln>
          </c:spPr>
          <c:invertIfNegative val="0"/>
          <c:dLbls>
            <c:spPr>
              <a:noFill/>
              <a:ln>
                <a:noFill/>
              </a:ln>
              <a:effectLst/>
            </c:spPr>
            <c:txPr>
              <a:bodyPr rot="-5400000" vert="horz" anchor="ctr" anchorCtr="0"/>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'F10'!$A$12:$A$23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'F10'!$B$12:$B$23</c:f>
              <c:numCache>
                <c:formatCode>_(* #,##0_);_(* \(#,##0\);_(* "-"??_);_(@_)</c:formatCode>
                <c:ptCount val="12"/>
                <c:pt idx="0">
                  <c:v>62925.43</c:v>
                </c:pt>
                <c:pt idx="1">
                  <c:v>63973.440000000002</c:v>
                </c:pt>
                <c:pt idx="2">
                  <c:v>82283.460000000006</c:v>
                </c:pt>
                <c:pt idx="3">
                  <c:v>65285.07</c:v>
                </c:pt>
                <c:pt idx="4">
                  <c:v>64964.767999999996</c:v>
                </c:pt>
                <c:pt idx="5">
                  <c:v>76987.050000000017</c:v>
                </c:pt>
                <c:pt idx="6">
                  <c:v>80074.63</c:v>
                </c:pt>
                <c:pt idx="7">
                  <c:v>53915.519999999997</c:v>
                </c:pt>
                <c:pt idx="8">
                  <c:v>50693.919999999998</c:v>
                </c:pt>
                <c:pt idx="9">
                  <c:v>42448.36</c:v>
                </c:pt>
                <c:pt idx="10">
                  <c:v>35255.333224302012</c:v>
                </c:pt>
                <c:pt idx="11" formatCode="#,##0.00">
                  <c:v>34626.160000000003</c:v>
                </c:pt>
              </c:numCache>
            </c:numRef>
          </c:val>
          <c:extLst>
            <c:ext xmlns:c16="http://schemas.microsoft.com/office/drawing/2014/chart" uri="{C3380CC4-5D6E-409C-BE32-E72D297353CC}">
              <c16:uniqueId val="{00000000-134A-4801-BC7F-2C02E1309777}"/>
            </c:ext>
          </c:extLst>
        </c:ser>
        <c:ser>
          <c:idx val="1"/>
          <c:order val="1"/>
          <c:tx>
            <c:strRef>
              <c:f>'F10'!$C$2</c:f>
              <c:strCache>
                <c:ptCount val="1"/>
                <c:pt idx="0">
                  <c:v>NSE</c:v>
                </c:pt>
              </c:strCache>
            </c:strRef>
          </c:tx>
          <c:spPr>
            <a:solidFill>
              <a:srgbClr val="FF0000"/>
            </a:solidFill>
          </c:spPr>
          <c:invertIfNegative val="0"/>
          <c:dLbls>
            <c:spPr>
              <a:noFill/>
              <a:ln>
                <a:noFill/>
              </a:ln>
              <a:effectLst/>
            </c:spPr>
            <c:txPr>
              <a:bodyPr rot="-5400000" vert="horz"/>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'F10'!$A$12:$A$23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'F10'!$C$12:$C$23</c:f>
              <c:numCache>
                <c:formatCode>_(* #,##0_);_(* \(#,##0\);_(* "-"??_);_(@_)</c:formatCode>
                <c:ptCount val="12"/>
                <c:pt idx="0">
                  <c:v>134635.69</c:v>
                </c:pt>
                <c:pt idx="1">
                  <c:v>119569.31</c:v>
                </c:pt>
                <c:pt idx="2">
                  <c:v>149081.53</c:v>
                </c:pt>
                <c:pt idx="3">
                  <c:v>149229.69</c:v>
                </c:pt>
                <c:pt idx="4">
                  <c:v>131841.63199999998</c:v>
                </c:pt>
                <c:pt idx="5">
                  <c:v>130256.79</c:v>
                </c:pt>
                <c:pt idx="6">
                  <c:v>121730.01</c:v>
                </c:pt>
                <c:pt idx="7">
                  <c:v>89136.44</c:v>
                </c:pt>
                <c:pt idx="8">
                  <c:v>90782.64</c:v>
                </c:pt>
                <c:pt idx="9">
                  <c:v>88404.000000000015</c:v>
                </c:pt>
                <c:pt idx="10">
                  <c:v>79665.3</c:v>
                </c:pt>
                <c:pt idx="11" formatCode="#,##0.00">
                  <c:v>76874.000000000015</c:v>
                </c:pt>
              </c:numCache>
            </c:numRef>
          </c:val>
          <c:extLst>
            <c:ext xmlns:c16="http://schemas.microsoft.com/office/drawing/2014/chart" uri="{C3380CC4-5D6E-409C-BE32-E72D297353CC}">
              <c16:uniqueId val="{00000001-134A-4801-BC7F-2C02E1309777}"/>
            </c:ext>
          </c:extLst>
        </c:ser>
        <c:dLbls>
          <c:showLegendKey val="0"/>
          <c:showVal val="0"/>
          <c:showCatName val="0"/>
          <c:showSerName val="0"/>
          <c:showPercent val="0"/>
          <c:showBubbleSize val="0"/>
        </c:dLbls>
        <c:gapWidth val="150"/>
        <c:axId val="484398256"/>
        <c:axId val="484402960"/>
      </c:barChart>
      <c:dateAx>
        <c:axId val="484398256"/>
        <c:scaling>
          <c:orientation val="minMax"/>
        </c:scaling>
        <c:delete val="0"/>
        <c:axPos val="b"/>
        <c:numFmt formatCode="[$-409]mmm\-yy" sourceLinked="1"/>
        <c:majorTickMark val="none"/>
        <c:minorTickMark val="none"/>
        <c:tickLblPos val="nextTo"/>
        <c:txPr>
          <a:bodyPr rot="-5400000" vert="horz"/>
          <a:lstStyle/>
          <a:p>
            <a:pPr>
              <a:defRPr lang="en-IN" sz="900" b="0" cap="none" baseline="0">
                <a:latin typeface="Palatino Linotype" panose="02040502050505030304" pitchFamily="18" charset="0"/>
              </a:defRPr>
            </a:pPr>
            <a:endParaRPr lang="en-US"/>
          </a:p>
        </c:txPr>
        <c:crossAx val="484402960"/>
        <c:crosses val="autoZero"/>
        <c:auto val="1"/>
        <c:lblOffset val="100"/>
        <c:baseTimeUnit val="months"/>
      </c:dateAx>
      <c:valAx>
        <c:axId val="484402960"/>
        <c:scaling>
          <c:orientation val="minMax"/>
        </c:scaling>
        <c:delete val="1"/>
        <c:axPos val="l"/>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1.1335754470799384E-2"/>
              <c:y val="0.49450035700928224"/>
            </c:manualLayout>
          </c:layout>
          <c:overlay val="0"/>
        </c:title>
        <c:numFmt formatCode="_(* #,##0_);_(* \(#,##0\);_(* &quot;-&quot;??_);_(@_)" sourceLinked="1"/>
        <c:majorTickMark val="out"/>
        <c:minorTickMark val="none"/>
        <c:tickLblPos val="none"/>
        <c:crossAx val="484398256"/>
        <c:crosses val="autoZero"/>
        <c:crossBetween val="between"/>
      </c:valAx>
    </c:plotArea>
    <c:legend>
      <c:legendPos val="b"/>
      <c:layout>
        <c:manualLayout>
          <c:xMode val="edge"/>
          <c:yMode val="edge"/>
          <c:x val="0.41481370554218189"/>
          <c:y val="0.9144460100382189"/>
          <c:w val="0.23932982707201275"/>
          <c:h val="6.8697515018857125E-2"/>
        </c:manualLayout>
      </c:layout>
      <c:overlay val="0"/>
      <c:spPr>
        <a:ln w="3175">
          <a:noFill/>
        </a:ln>
      </c:spPr>
      <c:txPr>
        <a:bodyPr/>
        <a:lstStyle/>
        <a:p>
          <a:pPr>
            <a:defRPr lang="en-IN"/>
          </a:pPr>
          <a:endParaRPr lang="en-US"/>
        </a:p>
      </c:txPr>
    </c:legend>
    <c:plotVisOnly val="1"/>
    <c:dispBlanksAs val="gap"/>
    <c:showDLblsOverMax val="0"/>
  </c:chart>
  <c:spPr>
    <a:ln w="3175">
      <a:solidFill>
        <a:schemeClr val="bg1">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5221495188128"/>
          <c:y val="8.3213208096295871E-2"/>
          <c:w val="0.8669348154280625"/>
          <c:h val="0.63075264109688545"/>
        </c:manualLayout>
      </c:layout>
      <c:barChart>
        <c:barDir val="col"/>
        <c:grouping val="clustered"/>
        <c:varyColors val="0"/>
        <c:ser>
          <c:idx val="0"/>
          <c:order val="0"/>
          <c:tx>
            <c:strRef>
              <c:f>'F11'!$B$2</c:f>
              <c:strCache>
                <c:ptCount val="1"/>
                <c:pt idx="0">
                  <c:v>Equity</c:v>
                </c:pt>
              </c:strCache>
            </c:strRef>
          </c:tx>
          <c:spPr>
            <a:solidFill>
              <a:srgbClr val="FF0000"/>
            </a:solidFill>
          </c:spPr>
          <c:invertIfNegative val="0"/>
          <c:cat>
            <c:numRef>
              <c:f>'F11'!$A$12:$A$23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'F11'!$B$12:$B$23</c:f>
              <c:numCache>
                <c:formatCode>[&gt;9999999]##\,##\,##\,##0;[&gt;99999]##\,##\,##0;##,##0</c:formatCode>
                <c:ptCount val="12"/>
                <c:pt idx="0">
                  <c:v>1384.38</c:v>
                </c:pt>
                <c:pt idx="1">
                  <c:v>9989.82</c:v>
                </c:pt>
                <c:pt idx="2">
                  <c:v>30285.64</c:v>
                </c:pt>
                <c:pt idx="3">
                  <c:v>-7965.5</c:v>
                </c:pt>
                <c:pt idx="4">
                  <c:v>6522.45</c:v>
                </c:pt>
                <c:pt idx="5">
                  <c:v>-501.5</c:v>
                </c:pt>
                <c:pt idx="6">
                  <c:v>-9195.0400000000009</c:v>
                </c:pt>
                <c:pt idx="7">
                  <c:v>-9213.44</c:v>
                </c:pt>
                <c:pt idx="8">
                  <c:v>-4134.37</c:v>
                </c:pt>
                <c:pt idx="9" formatCode="[&gt;9999999]##.0\,##\,##\,##0;[&gt;99999]##.0\,##\,##0;##,##0.0">
                  <c:v>-14491.79</c:v>
                </c:pt>
                <c:pt idx="10" formatCode="[&gt;9999999]##.0\,##\,##\,##0;[&gt;99999]##.0\,##\,##0;##,##0.0">
                  <c:v>-30760.07</c:v>
                </c:pt>
                <c:pt idx="11" formatCode="[&gt;9999999]##.0\,##\,##\,##0;[&gt;99999]##.0\,##\,##0;##,##0.0">
                  <c:v>-26427.83</c:v>
                </c:pt>
              </c:numCache>
            </c:numRef>
          </c:val>
          <c:extLst>
            <c:ext xmlns:c16="http://schemas.microsoft.com/office/drawing/2014/chart" uri="{C3380CC4-5D6E-409C-BE32-E72D297353CC}">
              <c16:uniqueId val="{00000000-B527-41EC-A675-BF8B1C4902AA}"/>
            </c:ext>
          </c:extLst>
        </c:ser>
        <c:ser>
          <c:idx val="1"/>
          <c:order val="1"/>
          <c:tx>
            <c:strRef>
              <c:f>'F11'!$C$2</c:f>
              <c:strCache>
                <c:ptCount val="1"/>
                <c:pt idx="0">
                  <c:v>Debt</c:v>
                </c:pt>
              </c:strCache>
            </c:strRef>
          </c:tx>
          <c:spPr>
            <a:solidFill>
              <a:srgbClr val="00B050"/>
            </a:solidFill>
          </c:spPr>
          <c:invertIfNegative val="0"/>
          <c:cat>
            <c:numRef>
              <c:f>'F11'!$A$12:$A$23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'F11'!$C$12:$C$23</c:f>
              <c:numCache>
                <c:formatCode>[&gt;9999999]##\,##\,##\,##0;[&gt;99999]##\,##\,##0;##,##0</c:formatCode>
                <c:ptCount val="12"/>
                <c:pt idx="0">
                  <c:v>32193.26</c:v>
                </c:pt>
                <c:pt idx="1">
                  <c:v>17920.55</c:v>
                </c:pt>
                <c:pt idx="2">
                  <c:v>-19645.759999999998</c:v>
                </c:pt>
                <c:pt idx="3">
                  <c:v>-9794.5400000000009</c:v>
                </c:pt>
                <c:pt idx="4">
                  <c:v>10699.37</c:v>
                </c:pt>
                <c:pt idx="5">
                  <c:v>41364.71</c:v>
                </c:pt>
                <c:pt idx="6">
                  <c:v>31897.85</c:v>
                </c:pt>
                <c:pt idx="7">
                  <c:v>25780.28</c:v>
                </c:pt>
                <c:pt idx="8">
                  <c:v>17004.97</c:v>
                </c:pt>
                <c:pt idx="9">
                  <c:v>31975.11</c:v>
                </c:pt>
                <c:pt idx="10">
                  <c:v>20349.349999999999</c:v>
                </c:pt>
                <c:pt idx="11" formatCode="[&gt;9999999]##.0\,##\,##\,##0;[&gt;99999]##.0\,##\,##0;##,##0.0">
                  <c:v>23368.42</c:v>
                </c:pt>
              </c:numCache>
            </c:numRef>
          </c:val>
          <c:extLst>
            <c:ext xmlns:c16="http://schemas.microsoft.com/office/drawing/2014/chart" uri="{C3380CC4-5D6E-409C-BE32-E72D297353CC}">
              <c16:uniqueId val="{00000001-B527-41EC-A675-BF8B1C4902AA}"/>
            </c:ext>
          </c:extLst>
        </c:ser>
        <c:dLbls>
          <c:showLegendKey val="0"/>
          <c:showVal val="0"/>
          <c:showCatName val="0"/>
          <c:showSerName val="0"/>
          <c:showPercent val="0"/>
          <c:showBubbleSize val="0"/>
        </c:dLbls>
        <c:gapWidth val="150"/>
        <c:axId val="484400608"/>
        <c:axId val="484399432"/>
      </c:barChart>
      <c:lineChart>
        <c:grouping val="standard"/>
        <c:varyColors val="0"/>
        <c:ser>
          <c:idx val="2"/>
          <c:order val="2"/>
          <c:tx>
            <c:strRef>
              <c:f>'F11'!$D$2</c:f>
              <c:strCache>
                <c:ptCount val="1"/>
                <c:pt idx="0">
                  <c:v>Total</c:v>
                </c:pt>
              </c:strCache>
            </c:strRef>
          </c:tx>
          <c:spPr>
            <a:ln>
              <a:solidFill>
                <a:srgbClr val="002060"/>
              </a:solidFill>
            </a:ln>
          </c:spPr>
          <c:marker>
            <c:symbol val="diamond"/>
            <c:size val="4"/>
            <c:spPr>
              <a:solidFill>
                <a:schemeClr val="tx2"/>
              </a:solidFill>
              <a:ln cap="sq">
                <a:solidFill>
                  <a:schemeClr val="tx2"/>
                </a:solidFill>
                <a:bevel/>
                <a:headEnd type="diamond"/>
              </a:ln>
            </c:spPr>
          </c:marker>
          <c:cat>
            <c:numRef>
              <c:f>'F11'!$A$12:$A$23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'F11'!$D$12:$D$23</c:f>
              <c:numCache>
                <c:formatCode>[&gt;9999999]##\,##\,##\,##0;[&gt;99999]##\,##\,##0;##,##0</c:formatCode>
                <c:ptCount val="12"/>
                <c:pt idx="0">
                  <c:v>33577.64</c:v>
                </c:pt>
                <c:pt idx="1">
                  <c:v>27910.37</c:v>
                </c:pt>
                <c:pt idx="2">
                  <c:v>10639.880000000001</c:v>
                </c:pt>
                <c:pt idx="3">
                  <c:v>-17760.04</c:v>
                </c:pt>
                <c:pt idx="4">
                  <c:v>17221.82</c:v>
                </c:pt>
                <c:pt idx="5">
                  <c:v>40863.21</c:v>
                </c:pt>
                <c:pt idx="6">
                  <c:v>22702.809999999998</c:v>
                </c:pt>
                <c:pt idx="7">
                  <c:v>16566.839999999997</c:v>
                </c:pt>
                <c:pt idx="8">
                  <c:v>12870.600000000002</c:v>
                </c:pt>
                <c:pt idx="9">
                  <c:v>17483.32</c:v>
                </c:pt>
                <c:pt idx="10">
                  <c:v>-10410.720000000001</c:v>
                </c:pt>
                <c:pt idx="11">
                  <c:v>-3059.4100000000035</c:v>
                </c:pt>
              </c:numCache>
            </c:numRef>
          </c:val>
          <c:smooth val="0"/>
          <c:extLst>
            <c:ext xmlns:c16="http://schemas.microsoft.com/office/drawing/2014/chart" uri="{C3380CC4-5D6E-409C-BE32-E72D297353CC}">
              <c16:uniqueId val="{00000002-B527-41EC-A675-BF8B1C4902AA}"/>
            </c:ext>
          </c:extLst>
        </c:ser>
        <c:dLbls>
          <c:showLegendKey val="0"/>
          <c:showVal val="0"/>
          <c:showCatName val="0"/>
          <c:showSerName val="0"/>
          <c:showPercent val="0"/>
          <c:showBubbleSize val="0"/>
        </c:dLbls>
        <c:marker val="1"/>
        <c:smooth val="0"/>
        <c:axId val="484400608"/>
        <c:axId val="484399432"/>
      </c:lineChart>
      <c:catAx>
        <c:axId val="484400608"/>
        <c:scaling>
          <c:orientation val="minMax"/>
        </c:scaling>
        <c:delete val="0"/>
        <c:axPos val="b"/>
        <c:numFmt formatCode="[$-409]mmm\-yy" sourceLinked="1"/>
        <c:majorTickMark val="none"/>
        <c:minorTickMark val="none"/>
        <c:tickLblPos val="low"/>
        <c:txPr>
          <a:bodyPr rot="-5400000" vert="horz"/>
          <a:lstStyle/>
          <a:p>
            <a:pPr>
              <a:defRPr b="0"/>
            </a:pPr>
            <a:endParaRPr lang="en-US"/>
          </a:p>
        </c:txPr>
        <c:crossAx val="484399432"/>
        <c:crosses val="autoZero"/>
        <c:auto val="0"/>
        <c:lblAlgn val="ctr"/>
        <c:lblOffset val="1"/>
        <c:noMultiLvlLbl val="0"/>
      </c:catAx>
      <c:valAx>
        <c:axId val="484399432"/>
        <c:scaling>
          <c:orientation val="minMax"/>
          <c:min val="-35000"/>
        </c:scaling>
        <c:delete val="0"/>
        <c:axPos val="l"/>
        <c:majorGridlines/>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0"/>
              <c:y val="0.37212440503008865"/>
            </c:manualLayout>
          </c:layout>
          <c:overlay val="0"/>
        </c:title>
        <c:numFmt formatCode="[&gt;9999999]##\,##\,##\,##0;[&gt;99999]##\,##\,##0;##,##0" sourceLinked="1"/>
        <c:majorTickMark val="out"/>
        <c:minorTickMark val="none"/>
        <c:tickLblPos val="nextTo"/>
        <c:spPr>
          <a:ln>
            <a:noFill/>
          </a:ln>
        </c:spPr>
        <c:txPr>
          <a:bodyPr/>
          <a:lstStyle/>
          <a:p>
            <a:pPr>
              <a:defRPr b="0"/>
            </a:pPr>
            <a:endParaRPr lang="en-US"/>
          </a:p>
        </c:txPr>
        <c:crossAx val="484400608"/>
        <c:crosses val="autoZero"/>
        <c:crossBetween val="between"/>
        <c:majorUnit val="10000"/>
      </c:valAx>
      <c:spPr>
        <a:noFill/>
      </c:spPr>
    </c:plotArea>
    <c:legend>
      <c:legendPos val="b"/>
      <c:layout>
        <c:manualLayout>
          <c:xMode val="edge"/>
          <c:yMode val="edge"/>
          <c:x val="0.27249453819226865"/>
          <c:y val="0.89266853845790795"/>
          <c:w val="0.47305882728441651"/>
          <c:h val="6.9774466716542874E-2"/>
        </c:manualLayout>
      </c:layout>
      <c:overlay val="0"/>
      <c:spPr>
        <a:noFill/>
        <a:ln w="3175">
          <a:noFill/>
        </a:ln>
      </c:spPr>
      <c:txPr>
        <a:bodyPr/>
        <a:lstStyle/>
        <a:p>
          <a:pPr>
            <a:defRPr b="0"/>
          </a:pPr>
          <a:endParaRPr lang="en-US"/>
        </a:p>
      </c:txPr>
    </c:legend>
    <c:plotVisOnly val="1"/>
    <c:dispBlanksAs val="gap"/>
    <c:showDLblsOverMax val="0"/>
  </c:chart>
  <c:spPr>
    <a:solidFill>
      <a:schemeClr val="bg1"/>
    </a:solidFill>
    <a:ln w="3175">
      <a:solidFill>
        <a:schemeClr val="bg1">
          <a:lumMod val="50000"/>
        </a:schemeClr>
      </a:solidFill>
    </a:ln>
  </c:spPr>
  <c:txPr>
    <a:bodyPr/>
    <a:lstStyle/>
    <a:p>
      <a:pPr>
        <a:defRPr sz="900" b="1" i="0" baseline="0">
          <a:latin typeface="Palatino Linotype" panose="0204050205050503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935239203335"/>
          <c:y val="8.1861646885150491E-2"/>
          <c:w val="0.83013306049462665"/>
          <c:h val="0.77243083341247287"/>
        </c:manualLayout>
      </c:layout>
      <c:barChart>
        <c:barDir val="col"/>
        <c:grouping val="clustered"/>
        <c:varyColors val="0"/>
        <c:ser>
          <c:idx val="0"/>
          <c:order val="0"/>
          <c:tx>
            <c:strRef>
              <c:f>'F 12'!$B$3</c:f>
              <c:strCache>
                <c:ptCount val="1"/>
                <c:pt idx="0">
                  <c:v>Equity </c:v>
                </c:pt>
              </c:strCache>
            </c:strRef>
          </c:tx>
          <c:spPr>
            <a:solidFill>
              <a:schemeClr val="accent1"/>
            </a:solidFill>
            <a:ln>
              <a:noFill/>
            </a:ln>
            <a:effectLst/>
          </c:spPr>
          <c:invertIfNegative val="0"/>
          <c:cat>
            <c:numRef>
              <c:f>'F 12'!$A$13:$A$24</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 12'!$B$13:$B$24</c:f>
              <c:numCache>
                <c:formatCode>#,##0.0</c:formatCode>
                <c:ptCount val="12"/>
                <c:pt idx="0">
                  <c:v>12123</c:v>
                </c:pt>
                <c:pt idx="1">
                  <c:v>1820</c:v>
                </c:pt>
                <c:pt idx="2">
                  <c:v>-61973</c:v>
                </c:pt>
                <c:pt idx="3">
                  <c:v>-6884</c:v>
                </c:pt>
                <c:pt idx="4">
                  <c:v>14568.77</c:v>
                </c:pt>
                <c:pt idx="5">
                  <c:v>21831.62</c:v>
                </c:pt>
                <c:pt idx="6">
                  <c:v>7562.71</c:v>
                </c:pt>
                <c:pt idx="7">
                  <c:v>47080</c:v>
                </c:pt>
                <c:pt idx="8">
                  <c:v>-7783</c:v>
                </c:pt>
                <c:pt idx="9">
                  <c:v>19540.73</c:v>
                </c:pt>
                <c:pt idx="10">
                  <c:v>60357.67</c:v>
                </c:pt>
                <c:pt idx="11">
                  <c:v>62015.68</c:v>
                </c:pt>
              </c:numCache>
            </c:numRef>
          </c:val>
          <c:extLst>
            <c:ext xmlns:c16="http://schemas.microsoft.com/office/drawing/2014/chart" uri="{C3380CC4-5D6E-409C-BE32-E72D297353CC}">
              <c16:uniqueId val="{00000000-F047-4366-BB8B-5B89414C9B2F}"/>
            </c:ext>
          </c:extLst>
        </c:ser>
        <c:ser>
          <c:idx val="1"/>
          <c:order val="1"/>
          <c:tx>
            <c:strRef>
              <c:f>'F 12'!$C$3</c:f>
              <c:strCache>
                <c:ptCount val="1"/>
                <c:pt idx="0">
                  <c:v>Debt </c:v>
                </c:pt>
              </c:strCache>
            </c:strRef>
          </c:tx>
          <c:spPr>
            <a:solidFill>
              <a:schemeClr val="accent2"/>
            </a:solidFill>
            <a:ln>
              <a:noFill/>
            </a:ln>
            <a:effectLst/>
          </c:spPr>
          <c:invertIfNegative val="0"/>
          <c:cat>
            <c:numRef>
              <c:f>'F 12'!$A$13:$A$24</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 12'!$C$13:$C$24</c:f>
              <c:numCache>
                <c:formatCode>#,##0.0</c:formatCode>
                <c:ptCount val="12"/>
                <c:pt idx="0">
                  <c:v>-11119</c:v>
                </c:pt>
                <c:pt idx="1">
                  <c:v>4734</c:v>
                </c:pt>
                <c:pt idx="2">
                  <c:v>-56211</c:v>
                </c:pt>
                <c:pt idx="3">
                  <c:v>-8519</c:v>
                </c:pt>
                <c:pt idx="4">
                  <c:v>-21935.37</c:v>
                </c:pt>
                <c:pt idx="5">
                  <c:v>2220.75</c:v>
                </c:pt>
                <c:pt idx="6">
                  <c:v>-4261.9799999999996</c:v>
                </c:pt>
                <c:pt idx="7">
                  <c:v>-548</c:v>
                </c:pt>
                <c:pt idx="8">
                  <c:v>4364</c:v>
                </c:pt>
                <c:pt idx="9">
                  <c:v>2492.14</c:v>
                </c:pt>
                <c:pt idx="10">
                  <c:v>2593.4299999999998</c:v>
                </c:pt>
                <c:pt idx="11">
                  <c:v>6541.71</c:v>
                </c:pt>
              </c:numCache>
            </c:numRef>
          </c:val>
          <c:extLst>
            <c:ext xmlns:c16="http://schemas.microsoft.com/office/drawing/2014/chart" uri="{C3380CC4-5D6E-409C-BE32-E72D297353CC}">
              <c16:uniqueId val="{00000001-F047-4366-BB8B-5B89414C9B2F}"/>
            </c:ext>
          </c:extLst>
        </c:ser>
        <c:dLbls>
          <c:showLegendKey val="0"/>
          <c:showVal val="0"/>
          <c:showCatName val="0"/>
          <c:showSerName val="0"/>
          <c:showPercent val="0"/>
          <c:showBubbleSize val="0"/>
        </c:dLbls>
        <c:gapWidth val="150"/>
        <c:axId val="484399824"/>
        <c:axId val="484400216"/>
      </c:barChart>
      <c:lineChart>
        <c:grouping val="standard"/>
        <c:varyColors val="0"/>
        <c:ser>
          <c:idx val="2"/>
          <c:order val="2"/>
          <c:tx>
            <c:strRef>
              <c:f>'F 12'!$D$3</c:f>
              <c:strCache>
                <c:ptCount val="1"/>
                <c:pt idx="0">
                  <c:v>Hybrid </c:v>
                </c:pt>
              </c:strCache>
            </c:strRef>
          </c:tx>
          <c:spPr>
            <a:ln w="28575" cap="rnd">
              <a:solidFill>
                <a:schemeClr val="accent3"/>
              </a:solidFill>
              <a:round/>
            </a:ln>
            <a:effectLst/>
          </c:spPr>
          <c:marker>
            <c:symbol val="none"/>
          </c:marker>
          <c:cat>
            <c:numRef>
              <c:f>'F 12'!$A$13:$A$24</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 12'!$D$10:$D$21</c:f>
              <c:numCache>
                <c:formatCode>#,##0.0</c:formatCode>
                <c:ptCount val="12"/>
                <c:pt idx="0">
                  <c:v>31</c:v>
                </c:pt>
                <c:pt idx="1">
                  <c:v>126</c:v>
                </c:pt>
                <c:pt idx="2">
                  <c:v>40</c:v>
                </c:pt>
                <c:pt idx="3">
                  <c:v>-46</c:v>
                </c:pt>
                <c:pt idx="4">
                  <c:v>2416</c:v>
                </c:pt>
                <c:pt idx="5">
                  <c:v>-19</c:v>
                </c:pt>
                <c:pt idx="6">
                  <c:v>544</c:v>
                </c:pt>
                <c:pt idx="7">
                  <c:v>10.75</c:v>
                </c:pt>
                <c:pt idx="8">
                  <c:v>1957.06</c:v>
                </c:pt>
                <c:pt idx="9">
                  <c:v>0.71</c:v>
                </c:pt>
                <c:pt idx="10">
                  <c:v>3347</c:v>
                </c:pt>
                <c:pt idx="11">
                  <c:v>2222</c:v>
                </c:pt>
              </c:numCache>
            </c:numRef>
          </c:val>
          <c:smooth val="0"/>
          <c:extLst>
            <c:ext xmlns:c16="http://schemas.microsoft.com/office/drawing/2014/chart" uri="{C3380CC4-5D6E-409C-BE32-E72D297353CC}">
              <c16:uniqueId val="{00000002-F047-4366-BB8B-5B89414C9B2F}"/>
            </c:ext>
          </c:extLst>
        </c:ser>
        <c:ser>
          <c:idx val="3"/>
          <c:order val="3"/>
          <c:tx>
            <c:strRef>
              <c:f>'F 12'!$E$3</c:f>
              <c:strCache>
                <c:ptCount val="1"/>
                <c:pt idx="0">
                  <c:v>Total</c:v>
                </c:pt>
              </c:strCache>
            </c:strRef>
          </c:tx>
          <c:spPr>
            <a:ln w="28575" cap="rnd">
              <a:solidFill>
                <a:schemeClr val="accent4"/>
              </a:solidFill>
              <a:round/>
            </a:ln>
            <a:effectLst/>
          </c:spPr>
          <c:marker>
            <c:symbol val="none"/>
          </c:marker>
          <c:cat>
            <c:numRef>
              <c:f>'F 12'!$A$13:$A$24</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 12'!$E$13:$E$24</c:f>
              <c:numCache>
                <c:formatCode>#,##0.0</c:formatCode>
                <c:ptCount val="12"/>
                <c:pt idx="0">
                  <c:v>957</c:v>
                </c:pt>
                <c:pt idx="1">
                  <c:v>8970</c:v>
                </c:pt>
                <c:pt idx="2">
                  <c:v>-118203</c:v>
                </c:pt>
                <c:pt idx="3">
                  <c:v>-14859</c:v>
                </c:pt>
                <c:pt idx="4">
                  <c:v>-7355.8499999999985</c:v>
                </c:pt>
                <c:pt idx="5">
                  <c:v>26009.43</c:v>
                </c:pt>
                <c:pt idx="6">
                  <c:v>3301.4400000000005</c:v>
                </c:pt>
                <c:pt idx="7">
                  <c:v>49879</c:v>
                </c:pt>
                <c:pt idx="8">
                  <c:v>-1197</c:v>
                </c:pt>
                <c:pt idx="9">
                  <c:v>21826.129999999997</c:v>
                </c:pt>
                <c:pt idx="10">
                  <c:v>62781.75</c:v>
                </c:pt>
                <c:pt idx="11">
                  <c:v>71046.47</c:v>
                </c:pt>
              </c:numCache>
            </c:numRef>
          </c:val>
          <c:smooth val="0"/>
          <c:extLst>
            <c:ext xmlns:c16="http://schemas.microsoft.com/office/drawing/2014/chart" uri="{C3380CC4-5D6E-409C-BE32-E72D297353CC}">
              <c16:uniqueId val="{00000003-F047-4366-BB8B-5B89414C9B2F}"/>
            </c:ext>
          </c:extLst>
        </c:ser>
        <c:dLbls>
          <c:showLegendKey val="0"/>
          <c:showVal val="0"/>
          <c:showCatName val="0"/>
          <c:showSerName val="0"/>
          <c:showPercent val="0"/>
          <c:showBubbleSize val="0"/>
        </c:dLbls>
        <c:marker val="1"/>
        <c:smooth val="0"/>
        <c:axId val="484399824"/>
        <c:axId val="484400216"/>
      </c:lineChart>
      <c:dateAx>
        <c:axId val="48439982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4400216"/>
        <c:crosses val="autoZero"/>
        <c:auto val="1"/>
        <c:lblOffset val="100"/>
        <c:baseTimeUnit val="months"/>
      </c:dateAx>
      <c:valAx>
        <c:axId val="484400216"/>
        <c:scaling>
          <c:orientation val="minMax"/>
          <c:max val="80000"/>
          <c:min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baseline="0">
                    <a:effectLst/>
                  </a:rPr>
                  <a:t>₹</a:t>
                </a:r>
                <a:r>
                  <a:rPr lang="en-US">
                    <a:solidFill>
                      <a:sysClr val="windowText" lastClr="000000"/>
                    </a:solidFill>
                  </a:rPr>
                  <a:t> crore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4399824"/>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2283377463797"/>
          <c:y val="4.6308180203127915E-2"/>
          <c:w val="0.79940171481497913"/>
          <c:h val="0.64955325380847262"/>
        </c:manualLayout>
      </c:layout>
      <c:barChart>
        <c:barDir val="col"/>
        <c:grouping val="clustered"/>
        <c:varyColors val="1"/>
        <c:ser>
          <c:idx val="0"/>
          <c:order val="0"/>
          <c:tx>
            <c:strRef>
              <c:f>'F13'!$B$5</c:f>
              <c:strCache>
                <c:ptCount val="1"/>
                <c:pt idx="0">
                  <c:v>Offer Value (LHS)</c:v>
                </c:pt>
              </c:strCache>
            </c:strRef>
          </c:tx>
          <c:spPr>
            <a:solidFill>
              <a:srgbClr val="00B050"/>
            </a:solidFill>
            <a:ln>
              <a:no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'F13'!$A$15:$A$26</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'F13'!$B$15:$B$26</c:f>
              <c:numCache>
                <c:formatCode>_(* #,##0.0_);_(* \(#,##0.0\);_(* "-"??_);_(@_)</c:formatCode>
                <c:ptCount val="12"/>
                <c:pt idx="0">
                  <c:v>5078.96</c:v>
                </c:pt>
                <c:pt idx="1">
                  <c:v>20.440000000000001</c:v>
                </c:pt>
                <c:pt idx="2">
                  <c:v>465.13</c:v>
                </c:pt>
                <c:pt idx="3">
                  <c:v>3.72</c:v>
                </c:pt>
                <c:pt idx="4" formatCode="[&gt;=10000000]#.#\,##\,##0;[&gt;=100000]#.#\,##0;##,##0">
                  <c:v>0</c:v>
                </c:pt>
                <c:pt idx="5">
                  <c:v>1088.1099999999999</c:v>
                </c:pt>
                <c:pt idx="6">
                  <c:v>528.16</c:v>
                </c:pt>
                <c:pt idx="7">
                  <c:v>3861.67</c:v>
                </c:pt>
                <c:pt idx="8">
                  <c:v>3010.3900000000003</c:v>
                </c:pt>
                <c:pt idx="9" formatCode="[&gt;=10000000]#.##\,##\,##0;[&gt;=100000]#.##\,##0;##,##0.0">
                  <c:v>480.5</c:v>
                </c:pt>
                <c:pt idx="10" formatCode="[&gt;=10000000]#.#\,##\,##0;[&gt;=100000]#.#\,##0;##,##0">
                  <c:v>0</c:v>
                </c:pt>
                <c:pt idx="11">
                  <c:v>47.49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 xmlns:c16="http://schemas.microsoft.com/office/drawing/2014/chart" uri="{C3380CC4-5D6E-409C-BE32-E72D297353CC}">
              <c16:uniqueId val="{00000000-3319-48D8-B320-5E3F66FD3F6F}"/>
            </c:ext>
          </c:extLst>
        </c:ser>
        <c:dLbls>
          <c:showLegendKey val="0"/>
          <c:showVal val="0"/>
          <c:showCatName val="0"/>
          <c:showSerName val="0"/>
          <c:showPercent val="0"/>
          <c:showBubbleSize val="0"/>
        </c:dLbls>
        <c:gapWidth val="280"/>
        <c:axId val="484404920"/>
        <c:axId val="484403352"/>
      </c:barChart>
      <c:lineChart>
        <c:grouping val="standard"/>
        <c:varyColors val="0"/>
        <c:ser>
          <c:idx val="1"/>
          <c:order val="1"/>
          <c:tx>
            <c:strRef>
              <c:f>'F13'!$C$5</c:f>
              <c:strCache>
                <c:ptCount val="1"/>
                <c:pt idx="0">
                  <c:v>Number of Open Offers (RHS)</c:v>
                </c:pt>
              </c:strCache>
            </c:strRef>
          </c:tx>
          <c:spPr>
            <a:ln w="28575" cmpd="sng">
              <a:solidFill>
                <a:srgbClr val="FF0000"/>
              </a:solidFill>
              <a:prstDash val="solid"/>
            </a:ln>
          </c:spPr>
          <c:marker>
            <c:symbol val="circle"/>
            <c:size val="5"/>
            <c:spPr>
              <a:solidFill>
                <a:srgbClr val="FF0000"/>
              </a:solidFill>
              <a:ln cmpd="sng">
                <a:solidFill>
                  <a:srgbClr val="FF0000"/>
                </a:solidFill>
              </a:ln>
            </c:spPr>
          </c:marker>
          <c:cat>
            <c:numRef>
              <c:f>'F13'!$A$15:$A$26</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'F13'!$C$15:$C$26</c:f>
              <c:numCache>
                <c:formatCode>[&gt;=10000000]#.#\,##\,##0;[&gt;=100000]#.#\,##0;##,##0</c:formatCode>
                <c:ptCount val="12"/>
                <c:pt idx="0">
                  <c:v>3</c:v>
                </c:pt>
                <c:pt idx="1">
                  <c:v>1</c:v>
                </c:pt>
                <c:pt idx="2">
                  <c:v>7</c:v>
                </c:pt>
                <c:pt idx="3">
                  <c:v>3</c:v>
                </c:pt>
                <c:pt idx="4">
                  <c:v>0</c:v>
                </c:pt>
                <c:pt idx="5">
                  <c:v>4</c:v>
                </c:pt>
                <c:pt idx="6">
                  <c:v>2</c:v>
                </c:pt>
                <c:pt idx="7">
                  <c:v>9</c:v>
                </c:pt>
                <c:pt idx="8">
                  <c:v>6</c:v>
                </c:pt>
                <c:pt idx="9">
                  <c:v>6</c:v>
                </c:pt>
                <c:pt idx="10">
                  <c:v>0</c:v>
                </c:pt>
                <c:pt idx="11" formatCode="_(* #,##0_);_(* \(#,##0\);_(* &quot;-&quot;??_);_(@_)">
                  <c:v>4</c:v>
                </c:pt>
              </c:numCache>
            </c:numRef>
          </c:val>
          <c:smooth val="0"/>
          <c:extLst>
            <c:ext xmlns:c16="http://schemas.microsoft.com/office/drawing/2014/chart" uri="{C3380CC4-5D6E-409C-BE32-E72D297353CC}">
              <c16:uniqueId val="{00000001-3319-48D8-B320-5E3F66FD3F6F}"/>
            </c:ext>
          </c:extLst>
        </c:ser>
        <c:dLbls>
          <c:showLegendKey val="0"/>
          <c:showVal val="0"/>
          <c:showCatName val="0"/>
          <c:showSerName val="0"/>
          <c:showPercent val="0"/>
          <c:showBubbleSize val="0"/>
        </c:dLbls>
        <c:marker val="1"/>
        <c:smooth val="0"/>
        <c:axId val="484404528"/>
        <c:axId val="484402176"/>
      </c:lineChart>
      <c:dateAx>
        <c:axId val="484404920"/>
        <c:scaling>
          <c:orientation val="minMax"/>
        </c:scaling>
        <c:delete val="0"/>
        <c:axPos val="b"/>
        <c:title>
          <c:tx>
            <c:rich>
              <a:bodyPr/>
              <a:lstStyle/>
              <a:p>
                <a:pPr>
                  <a:defRPr/>
                </a:pPr>
                <a:endParaRPr lang="en-IN"/>
              </a:p>
            </c:rich>
          </c:tx>
          <c:overlay val="0"/>
        </c:title>
        <c:numFmt formatCode="[$-409]mmm\-yy" sourceLinked="1"/>
        <c:majorTickMark val="none"/>
        <c:minorTickMark val="none"/>
        <c:tickLblPos val="nextTo"/>
        <c:spPr>
          <a:solidFill>
            <a:srgbClr val="FFFFFF"/>
          </a:solidFill>
          <a:ln w="9525">
            <a:solidFill>
              <a:schemeClr val="tx1">
                <a:shade val="95000"/>
                <a:satMod val="105000"/>
              </a:schemeClr>
            </a:solidFill>
          </a:ln>
        </c:spPr>
        <c:txPr>
          <a:bodyPr rot="-5400000"/>
          <a:lstStyle/>
          <a:p>
            <a:pPr>
              <a:defRPr/>
            </a:pPr>
            <a:endParaRPr lang="en-US"/>
          </a:p>
        </c:txPr>
        <c:crossAx val="484403352"/>
        <c:crosses val="autoZero"/>
        <c:auto val="1"/>
        <c:lblOffset val="100"/>
        <c:baseTimeUnit val="months"/>
      </c:dateAx>
      <c:valAx>
        <c:axId val="484403352"/>
        <c:scaling>
          <c:orientation val="minMax"/>
          <c:min val="0"/>
        </c:scaling>
        <c:delete val="0"/>
        <c:axPos val="l"/>
        <c:title>
          <c:tx>
            <c:rich>
              <a:bodyPr/>
              <a:lstStyle/>
              <a:p>
                <a:pPr>
                  <a:defRPr b="0"/>
                </a:pPr>
                <a:r>
                  <a:rPr lang="en-IN" b="0"/>
                  <a:t>₹ crore</a:t>
                </a:r>
              </a:p>
            </c:rich>
          </c:tx>
          <c:layout>
            <c:manualLayout>
              <c:xMode val="edge"/>
              <c:yMode val="edge"/>
              <c:x val="8.2879445052006524E-3"/>
              <c:y val="0.36157947531625151"/>
            </c:manualLayout>
          </c:layout>
          <c:overlay val="0"/>
        </c:title>
        <c:numFmt formatCode="#,##0" sourceLinked="0"/>
        <c:majorTickMark val="cross"/>
        <c:minorTickMark val="cross"/>
        <c:tickLblPos val="nextTo"/>
        <c:spPr>
          <a:ln w="47625">
            <a:noFill/>
          </a:ln>
        </c:spPr>
        <c:txPr>
          <a:bodyPr rot="0"/>
          <a:lstStyle/>
          <a:p>
            <a:pPr>
              <a:defRPr/>
            </a:pPr>
            <a:endParaRPr lang="en-US"/>
          </a:p>
        </c:txPr>
        <c:crossAx val="484404920"/>
        <c:crosses val="autoZero"/>
        <c:crossBetween val="between"/>
      </c:valAx>
      <c:dateAx>
        <c:axId val="484404528"/>
        <c:scaling>
          <c:orientation val="minMax"/>
        </c:scaling>
        <c:delete val="1"/>
        <c:axPos val="b"/>
        <c:numFmt formatCode="[$-409]mmm\-yy" sourceLinked="1"/>
        <c:majorTickMark val="cross"/>
        <c:minorTickMark val="cross"/>
        <c:tickLblPos val="nextTo"/>
        <c:crossAx val="484402176"/>
        <c:crosses val="autoZero"/>
        <c:auto val="1"/>
        <c:lblOffset val="100"/>
        <c:baseTimeUnit val="months"/>
      </c:dateAx>
      <c:valAx>
        <c:axId val="484402176"/>
        <c:scaling>
          <c:orientation val="minMax"/>
          <c:min val="0"/>
        </c:scaling>
        <c:delete val="0"/>
        <c:axPos val="r"/>
        <c:title>
          <c:tx>
            <c:rich>
              <a:bodyPr rot="5400000" vert="horz"/>
              <a:lstStyle/>
              <a:p>
                <a:pPr>
                  <a:defRPr b="0"/>
                </a:pPr>
                <a:r>
                  <a:rPr lang="en-IN" b="0"/>
                  <a:t>Number</a:t>
                </a:r>
              </a:p>
            </c:rich>
          </c:tx>
          <c:layout>
            <c:manualLayout>
              <c:xMode val="edge"/>
              <c:yMode val="edge"/>
              <c:x val="0.96680645867737003"/>
              <c:y val="0.3901065653797765"/>
            </c:manualLayout>
          </c:layout>
          <c:overlay val="0"/>
        </c:title>
        <c:numFmt formatCode="[&gt;=10000000]#.#\,##\,##0;[&gt;=100000]#.#\,##0;##,##0" sourceLinked="1"/>
        <c:majorTickMark val="cross"/>
        <c:minorTickMark val="cross"/>
        <c:tickLblPos val="nextTo"/>
        <c:spPr>
          <a:ln w="47625">
            <a:noFill/>
          </a:ln>
        </c:spPr>
        <c:crossAx val="484404528"/>
        <c:crosses val="max"/>
        <c:crossBetween val="between"/>
      </c:valAx>
    </c:plotArea>
    <c:legend>
      <c:legendPos val="b"/>
      <c:overlay val="0"/>
    </c:legend>
    <c:plotVisOnly val="1"/>
    <c:dispBlanksAs val="zero"/>
    <c:showDLblsOverMax val="1"/>
  </c:chart>
  <c:spPr>
    <a:solidFill>
      <a:srgbClr val="FFFFFF"/>
    </a:solidFill>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MCX ICOMDEX Composite index</c:v>
          </c:tx>
          <c:spPr>
            <a:ln w="28575" cap="rnd">
              <a:solidFill>
                <a:schemeClr val="accent1"/>
              </a:solidFill>
              <a:round/>
            </a:ln>
            <a:effectLst/>
          </c:spPr>
          <c:marker>
            <c:symbol val="none"/>
          </c:marker>
          <c:cat>
            <c:numRef>
              <c:f>Graph!$D$173:$D$195</c:f>
              <c:numCache>
                <c:formatCode>d\-mmm\-yy</c:formatCode>
                <c:ptCount val="23"/>
                <c:pt idx="0">
                  <c:v>44165</c:v>
                </c:pt>
                <c:pt idx="1">
                  <c:v>44166</c:v>
                </c:pt>
                <c:pt idx="2">
                  <c:v>44167</c:v>
                </c:pt>
                <c:pt idx="3">
                  <c:v>44168</c:v>
                </c:pt>
                <c:pt idx="4">
                  <c:v>44169</c:v>
                </c:pt>
                <c:pt idx="5">
                  <c:v>44172</c:v>
                </c:pt>
                <c:pt idx="6">
                  <c:v>44173</c:v>
                </c:pt>
                <c:pt idx="7">
                  <c:v>44174</c:v>
                </c:pt>
                <c:pt idx="8">
                  <c:v>44175</c:v>
                </c:pt>
                <c:pt idx="9">
                  <c:v>44176</c:v>
                </c:pt>
                <c:pt idx="10">
                  <c:v>44179</c:v>
                </c:pt>
                <c:pt idx="11">
                  <c:v>44180</c:v>
                </c:pt>
                <c:pt idx="12">
                  <c:v>44181</c:v>
                </c:pt>
                <c:pt idx="13">
                  <c:v>44182</c:v>
                </c:pt>
                <c:pt idx="14">
                  <c:v>44183</c:v>
                </c:pt>
                <c:pt idx="15">
                  <c:v>44186</c:v>
                </c:pt>
                <c:pt idx="16">
                  <c:v>44187</c:v>
                </c:pt>
                <c:pt idx="17">
                  <c:v>44188</c:v>
                </c:pt>
                <c:pt idx="18">
                  <c:v>44189</c:v>
                </c:pt>
                <c:pt idx="19">
                  <c:v>44193</c:v>
                </c:pt>
                <c:pt idx="20">
                  <c:v>44194</c:v>
                </c:pt>
                <c:pt idx="21">
                  <c:v>44195</c:v>
                </c:pt>
                <c:pt idx="22">
                  <c:v>44196</c:v>
                </c:pt>
              </c:numCache>
            </c:numRef>
          </c:cat>
          <c:val>
            <c:numRef>
              <c:f>Graph!$E$173:$E$195</c:f>
              <c:numCache>
                <c:formatCode>_(* #,##0.00_);_(* \(#,##0.00\);_(* "-"??_);_(@_)</c:formatCode>
                <c:ptCount val="23"/>
                <c:pt idx="0" formatCode="0.00">
                  <c:v>100</c:v>
                </c:pt>
                <c:pt idx="1">
                  <c:v>100.6728721858148</c:v>
                </c:pt>
                <c:pt idx="2">
                  <c:v>101.00561334432945</c:v>
                </c:pt>
                <c:pt idx="3">
                  <c:v>101.24120236121087</c:v>
                </c:pt>
                <c:pt idx="4">
                  <c:v>101.59591606291437</c:v>
                </c:pt>
                <c:pt idx="5">
                  <c:v>102.67345746342261</c:v>
                </c:pt>
                <c:pt idx="6">
                  <c:v>102.47718254848</c:v>
                </c:pt>
                <c:pt idx="7">
                  <c:v>102.0776369761445</c:v>
                </c:pt>
                <c:pt idx="8">
                  <c:v>102.93604413426701</c:v>
                </c:pt>
                <c:pt idx="9">
                  <c:v>102.43934642029829</c:v>
                </c:pt>
                <c:pt idx="10">
                  <c:v>102.56014614204511</c:v>
                </c:pt>
                <c:pt idx="11">
                  <c:v>103.25242904986982</c:v>
                </c:pt>
                <c:pt idx="12">
                  <c:v>103.71060091457019</c:v>
                </c:pt>
                <c:pt idx="13">
                  <c:v>105.10433016751357</c:v>
                </c:pt>
                <c:pt idx="14">
                  <c:v>105.35282682187365</c:v>
                </c:pt>
                <c:pt idx="15">
                  <c:v>104.94707375975835</c:v>
                </c:pt>
                <c:pt idx="16">
                  <c:v>103.50782291509636</c:v>
                </c:pt>
                <c:pt idx="17">
                  <c:v>104.33302492947605</c:v>
                </c:pt>
                <c:pt idx="18">
                  <c:v>104.32967485562664</c:v>
                </c:pt>
                <c:pt idx="19">
                  <c:v>104.576989130981</c:v>
                </c:pt>
                <c:pt idx="20">
                  <c:v>103.80371326126735</c:v>
                </c:pt>
                <c:pt idx="21">
                  <c:v>103.87022208033676</c:v>
                </c:pt>
                <c:pt idx="22">
                  <c:v>103.49540793553672</c:v>
                </c:pt>
              </c:numCache>
            </c:numRef>
          </c:val>
          <c:smooth val="0"/>
          <c:extLst>
            <c:ext xmlns:c16="http://schemas.microsoft.com/office/drawing/2014/chart" uri="{C3380CC4-5D6E-409C-BE32-E72D297353CC}">
              <c16:uniqueId val="{00000000-6F75-4186-93E1-B88EF992717C}"/>
            </c:ext>
          </c:extLst>
        </c:ser>
        <c:ser>
          <c:idx val="1"/>
          <c:order val="1"/>
          <c:tx>
            <c:v>Nkrishi NCDEX index</c:v>
          </c:tx>
          <c:spPr>
            <a:ln w="28575" cap="rnd">
              <a:solidFill>
                <a:schemeClr val="accent2"/>
              </a:solidFill>
              <a:round/>
            </a:ln>
            <a:effectLst/>
          </c:spPr>
          <c:marker>
            <c:symbol val="none"/>
          </c:marker>
          <c:cat>
            <c:numRef>
              <c:f>Graph!$D$173:$D$195</c:f>
              <c:numCache>
                <c:formatCode>d\-mmm\-yy</c:formatCode>
                <c:ptCount val="23"/>
                <c:pt idx="0">
                  <c:v>44165</c:v>
                </c:pt>
                <c:pt idx="1">
                  <c:v>44166</c:v>
                </c:pt>
                <c:pt idx="2">
                  <c:v>44167</c:v>
                </c:pt>
                <c:pt idx="3">
                  <c:v>44168</c:v>
                </c:pt>
                <c:pt idx="4">
                  <c:v>44169</c:v>
                </c:pt>
                <c:pt idx="5">
                  <c:v>44172</c:v>
                </c:pt>
                <c:pt idx="6">
                  <c:v>44173</c:v>
                </c:pt>
                <c:pt idx="7">
                  <c:v>44174</c:v>
                </c:pt>
                <c:pt idx="8">
                  <c:v>44175</c:v>
                </c:pt>
                <c:pt idx="9">
                  <c:v>44176</c:v>
                </c:pt>
                <c:pt idx="10">
                  <c:v>44179</c:v>
                </c:pt>
                <c:pt idx="11">
                  <c:v>44180</c:v>
                </c:pt>
                <c:pt idx="12">
                  <c:v>44181</c:v>
                </c:pt>
                <c:pt idx="13">
                  <c:v>44182</c:v>
                </c:pt>
                <c:pt idx="14">
                  <c:v>44183</c:v>
                </c:pt>
                <c:pt idx="15">
                  <c:v>44186</c:v>
                </c:pt>
                <c:pt idx="16">
                  <c:v>44187</c:v>
                </c:pt>
                <c:pt idx="17">
                  <c:v>44188</c:v>
                </c:pt>
                <c:pt idx="18">
                  <c:v>44189</c:v>
                </c:pt>
                <c:pt idx="19">
                  <c:v>44193</c:v>
                </c:pt>
                <c:pt idx="20">
                  <c:v>44194</c:v>
                </c:pt>
                <c:pt idx="21">
                  <c:v>44195</c:v>
                </c:pt>
                <c:pt idx="22">
                  <c:v>44196</c:v>
                </c:pt>
              </c:numCache>
            </c:numRef>
          </c:cat>
          <c:val>
            <c:numRef>
              <c:f>Graph!$F$173:$F$195</c:f>
              <c:numCache>
                <c:formatCode>_(* #,##0.00_);_(* \(#,##0.00\);_(* "-"??_);_(@_)</c:formatCode>
                <c:ptCount val="23"/>
                <c:pt idx="0" formatCode="0.00">
                  <c:v>100</c:v>
                </c:pt>
                <c:pt idx="1">
                  <c:v>99.00516244329134</c:v>
                </c:pt>
                <c:pt idx="2">
                  <c:v>98.184262369845172</c:v>
                </c:pt>
                <c:pt idx="3">
                  <c:v>98.027559545747408</c:v>
                </c:pt>
                <c:pt idx="4">
                  <c:v>97.664571108877965</c:v>
                </c:pt>
                <c:pt idx="5">
                  <c:v>95.496450985955065</c:v>
                </c:pt>
                <c:pt idx="6">
                  <c:v>95.596412009110495</c:v>
                </c:pt>
                <c:pt idx="7">
                  <c:v>95.253309717431122</c:v>
                </c:pt>
                <c:pt idx="8">
                  <c:v>97.042002190127448</c:v>
                </c:pt>
                <c:pt idx="9">
                  <c:v>96.097542867900316</c:v>
                </c:pt>
                <c:pt idx="10">
                  <c:v>95.586866659419286</c:v>
                </c:pt>
                <c:pt idx="11">
                  <c:v>96.290836199147819</c:v>
                </c:pt>
                <c:pt idx="12">
                  <c:v>97.340029219376007</c:v>
                </c:pt>
                <c:pt idx="13">
                  <c:v>96.13280763203737</c:v>
                </c:pt>
                <c:pt idx="14">
                  <c:v>96.266442527714645</c:v>
                </c:pt>
                <c:pt idx="15">
                  <c:v>94.873616918602025</c:v>
                </c:pt>
                <c:pt idx="16">
                  <c:v>95.637775191105845</c:v>
                </c:pt>
                <c:pt idx="17">
                  <c:v>96.509583796238587</c:v>
                </c:pt>
                <c:pt idx="18">
                  <c:v>95.946143015853224</c:v>
                </c:pt>
                <c:pt idx="19">
                  <c:v>96.216329441835654</c:v>
                </c:pt>
                <c:pt idx="20">
                  <c:v>96.84340588682926</c:v>
                </c:pt>
                <c:pt idx="21">
                  <c:v>96.971737810455849</c:v>
                </c:pt>
                <c:pt idx="22">
                  <c:v>97.20374283767336</c:v>
                </c:pt>
              </c:numCache>
            </c:numRef>
          </c:val>
          <c:smooth val="0"/>
          <c:extLst>
            <c:ext xmlns:c16="http://schemas.microsoft.com/office/drawing/2014/chart" uri="{C3380CC4-5D6E-409C-BE32-E72D297353CC}">
              <c16:uniqueId val="{00000001-6F75-4186-93E1-B88EF992717C}"/>
            </c:ext>
          </c:extLst>
        </c:ser>
        <c:dLbls>
          <c:showLegendKey val="0"/>
          <c:showVal val="0"/>
          <c:showCatName val="0"/>
          <c:showSerName val="0"/>
          <c:showPercent val="0"/>
          <c:showBubbleSize val="0"/>
        </c:dLbls>
        <c:smooth val="0"/>
        <c:axId val="511157520"/>
        <c:axId val="511159480"/>
      </c:lineChart>
      <c:dateAx>
        <c:axId val="511157520"/>
        <c:scaling>
          <c:orientation val="minMax"/>
          <c:min val="44165"/>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11159480"/>
        <c:crosses val="autoZero"/>
        <c:auto val="1"/>
        <c:lblOffset val="100"/>
        <c:baseTimeUnit val="days"/>
        <c:majorUnit val="2"/>
        <c:majorTimeUnit val="days"/>
      </c:dateAx>
      <c:valAx>
        <c:axId val="511159480"/>
        <c:scaling>
          <c:orientation val="minMax"/>
          <c:max val="108"/>
          <c:min val="94"/>
        </c:scaling>
        <c:delete val="0"/>
        <c:axPos val="l"/>
        <c:majorGridlines>
          <c:spPr>
            <a:ln w="9525" cap="flat" cmpd="sng" algn="ctr">
              <a:solidFill>
                <a:srgbClr val="0070C0"/>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11157520"/>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7752615371433"/>
          <c:y val="2.3414388003439247E-2"/>
          <c:w val="0.78749864010268145"/>
          <c:h val="0.64042712487673603"/>
        </c:manualLayout>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charts'!$A$40:$A$52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extLst/>
            </c:numRef>
          </c:cat>
          <c:val>
            <c:numRef>
              <c:f>'Turnover charts'!$B$40:$B$52</c:f>
              <c:numCache>
                <c:formatCode>#,##0</c:formatCode>
                <c:ptCount val="12"/>
                <c:pt idx="0">
                  <c:v>12590.9105948</c:v>
                </c:pt>
                <c:pt idx="1">
                  <c:v>10289.779631199997</c:v>
                </c:pt>
                <c:pt idx="2">
                  <c:v>9969.8466008000014</c:v>
                </c:pt>
                <c:pt idx="3">
                  <c:v>3671.8557304000001</c:v>
                </c:pt>
                <c:pt idx="4">
                  <c:v>4106.3184176000004</c:v>
                </c:pt>
                <c:pt idx="5">
                  <c:v>6367.6581902000007</c:v>
                </c:pt>
                <c:pt idx="6">
                  <c:v>7277.3962512000026</c:v>
                </c:pt>
                <c:pt idx="7">
                  <c:v>5824.4504842000024</c:v>
                </c:pt>
                <c:pt idx="8">
                  <c:v>6838.5318600000001</c:v>
                </c:pt>
                <c:pt idx="9">
                  <c:v>7096.0901250000006</c:v>
                </c:pt>
                <c:pt idx="10">
                  <c:v>10138.218927400003</c:v>
                </c:pt>
                <c:pt idx="11">
                  <c:v>10747.937155000003</c:v>
                </c:pt>
              </c:numCache>
              <c:extLst/>
            </c:numRef>
          </c:val>
          <c:extLst>
            <c:ext xmlns:c16="http://schemas.microsoft.com/office/drawing/2014/chart" uri="{C3380CC4-5D6E-409C-BE32-E72D297353CC}">
              <c16:uniqueId val="{00000000-CD8D-41EB-A9B5-F257A8B7AB39}"/>
            </c:ext>
          </c:extLst>
        </c:ser>
        <c:ser>
          <c:idx val="1"/>
          <c:order val="1"/>
          <c:tx>
            <c:strRef>
              <c:f>'Turnover charts'!$C$3</c:f>
              <c:strCache>
                <c:ptCount val="1"/>
                <c:pt idx="0">
                  <c:v>NCDEX Agri Futures &amp; Options (LHS)</c:v>
                </c:pt>
              </c:strCache>
            </c:strRef>
          </c:tx>
          <c:spPr>
            <a:solidFill>
              <a:srgbClr val="00B050"/>
            </a:solidFill>
            <a:ln>
              <a:solidFill>
                <a:schemeClr val="accent3">
                  <a:lumMod val="75000"/>
                </a:schemeClr>
              </a:solidFill>
            </a:ln>
            <a:effectLst/>
          </c:spPr>
          <c:invertIfNegative val="0"/>
          <c:cat>
            <c:numRef>
              <c:f>'Turnover charts'!$A$40:$A$52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extLst/>
            </c:numRef>
          </c:cat>
          <c:val>
            <c:numRef>
              <c:f>'Turnover charts'!$C$40:$C$52</c:f>
              <c:numCache>
                <c:formatCode>#,##0</c:formatCode>
                <c:ptCount val="12"/>
                <c:pt idx="0">
                  <c:v>37713.501540000019</c:v>
                </c:pt>
                <c:pt idx="1">
                  <c:v>27400.083519999989</c:v>
                </c:pt>
                <c:pt idx="2">
                  <c:v>25485.03999999999</c:v>
                </c:pt>
                <c:pt idx="3">
                  <c:v>12561.501194999999</c:v>
                </c:pt>
                <c:pt idx="4">
                  <c:v>11168.988342500001</c:v>
                </c:pt>
                <c:pt idx="5">
                  <c:v>18922.815102500001</c:v>
                </c:pt>
                <c:pt idx="6">
                  <c:v>18054.253055000005</c:v>
                </c:pt>
                <c:pt idx="7">
                  <c:v>23929.732684999995</c:v>
                </c:pt>
                <c:pt idx="8">
                  <c:v>28599.374342499999</c:v>
                </c:pt>
                <c:pt idx="9">
                  <c:v>32560.999704999991</c:v>
                </c:pt>
                <c:pt idx="10">
                  <c:v>31297.897227500001</c:v>
                </c:pt>
                <c:pt idx="11">
                  <c:v>34267.000512499995</c:v>
                </c:pt>
              </c:numCache>
              <c:extLst/>
            </c:numRef>
          </c:val>
          <c:extLst>
            <c:ext xmlns:c16="http://schemas.microsoft.com/office/drawing/2014/chart" uri="{C3380CC4-5D6E-409C-BE32-E72D297353CC}">
              <c16:uniqueId val="{00000001-CD8D-41EB-A9B5-F257A8B7AB39}"/>
            </c:ext>
          </c:extLst>
        </c:ser>
        <c:dLbls>
          <c:showLegendKey val="0"/>
          <c:showVal val="0"/>
          <c:showCatName val="0"/>
          <c:showSerName val="0"/>
          <c:showPercent val="0"/>
          <c:showBubbleSize val="0"/>
        </c:dLbls>
        <c:gapWidth val="219"/>
        <c:axId val="511158696"/>
        <c:axId val="511159872"/>
      </c:barChart>
      <c:lineChart>
        <c:grouping val="standard"/>
        <c:varyColors val="0"/>
        <c:ser>
          <c:idx val="2"/>
          <c:order val="2"/>
          <c:tx>
            <c:strRef>
              <c:f>'Turnover charts'!$D$3</c:f>
              <c:strCache>
                <c:ptCount val="1"/>
                <c:pt idx="0">
                  <c:v>ICEX Agri Futures (RHS)</c:v>
                </c:pt>
              </c:strCache>
            </c:strRef>
          </c:tx>
          <c:spPr>
            <a:ln w="28575" cap="rnd">
              <a:solidFill>
                <a:schemeClr val="accent6"/>
              </a:solidFill>
              <a:round/>
            </a:ln>
            <a:effectLst/>
          </c:spPr>
          <c:marker>
            <c:symbol val="none"/>
          </c:marker>
          <c:cat>
            <c:numRef>
              <c:f>'Turnover charts'!$A$40:$A$52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extLst/>
            </c:numRef>
          </c:cat>
          <c:val>
            <c:numRef>
              <c:f>'Turnover charts'!$D$40:$D$52</c:f>
              <c:numCache>
                <c:formatCode>#,##0</c:formatCode>
                <c:ptCount val="12"/>
                <c:pt idx="0">
                  <c:v>428.81</c:v>
                </c:pt>
                <c:pt idx="1">
                  <c:v>391.17</c:v>
                </c:pt>
                <c:pt idx="2">
                  <c:v>432.61574500000017</c:v>
                </c:pt>
                <c:pt idx="3">
                  <c:v>213.02189999999999</c:v>
                </c:pt>
                <c:pt idx="4">
                  <c:v>53.65</c:v>
                </c:pt>
                <c:pt idx="5">
                  <c:v>16.16</c:v>
                </c:pt>
                <c:pt idx="6">
                  <c:v>22.481598000000002</c:v>
                </c:pt>
                <c:pt idx="7">
                  <c:v>2.2767149999999998</c:v>
                </c:pt>
                <c:pt idx="8" formatCode="#,##0.0">
                  <c:v>4.0599999999999997E-2</c:v>
                </c:pt>
                <c:pt idx="9" formatCode="#,##0.0">
                  <c:v>0</c:v>
                </c:pt>
                <c:pt idx="10" formatCode="#,##0.0">
                  <c:v>0</c:v>
                </c:pt>
                <c:pt idx="11" formatCode="#,##0.0">
                  <c:v>0.89</c:v>
                </c:pt>
              </c:numCache>
              <c:extLst/>
            </c:numRef>
          </c:val>
          <c:smooth val="0"/>
          <c:extLst>
            <c:ext xmlns:c16="http://schemas.microsoft.com/office/drawing/2014/chart" uri="{C3380CC4-5D6E-409C-BE32-E72D297353CC}">
              <c16:uniqueId val="{00000002-CD8D-41EB-A9B5-F257A8B7AB39}"/>
            </c:ext>
          </c:extLst>
        </c:ser>
        <c:ser>
          <c:idx val="3"/>
          <c:order val="3"/>
          <c:tx>
            <c:strRef>
              <c:f>'Turnover charts'!$E$3</c:f>
              <c:strCache>
                <c:ptCount val="1"/>
                <c:pt idx="0">
                  <c:v>BSE Agri Futures (RHS)</c:v>
                </c:pt>
              </c:strCache>
            </c:strRef>
          </c:tx>
          <c:spPr>
            <a:ln w="28575" cap="rnd">
              <a:solidFill>
                <a:schemeClr val="bg1">
                  <a:lumMod val="50000"/>
                </a:schemeClr>
              </a:solidFill>
              <a:round/>
            </a:ln>
            <a:effectLst/>
          </c:spPr>
          <c:marker>
            <c:symbol val="none"/>
          </c:marker>
          <c:cat>
            <c:numRef>
              <c:f>'Turnover charts'!$A$40:$A$52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extLst/>
            </c:numRef>
          </c:cat>
          <c:val>
            <c:numRef>
              <c:f>'Turnover charts'!$E$40:$E$52</c:f>
              <c:numCache>
                <c:formatCode>#,##0</c:formatCode>
                <c:ptCount val="12"/>
                <c:pt idx="0">
                  <c:v>1826.49</c:v>
                </c:pt>
                <c:pt idx="1">
                  <c:v>1729.52</c:v>
                </c:pt>
                <c:pt idx="2">
                  <c:v>2006.22</c:v>
                </c:pt>
                <c:pt idx="3">
                  <c:v>1001.73313</c:v>
                </c:pt>
                <c:pt idx="4">
                  <c:v>847.49</c:v>
                </c:pt>
                <c:pt idx="5">
                  <c:v>1565.29</c:v>
                </c:pt>
                <c:pt idx="6">
                  <c:v>323.74</c:v>
                </c:pt>
                <c:pt idx="7">
                  <c:v>153.78</c:v>
                </c:pt>
                <c:pt idx="8">
                  <c:v>181.2</c:v>
                </c:pt>
                <c:pt idx="9">
                  <c:v>236.58</c:v>
                </c:pt>
                <c:pt idx="10">
                  <c:v>165.86</c:v>
                </c:pt>
                <c:pt idx="11">
                  <c:v>110.01</c:v>
                </c:pt>
              </c:numCache>
              <c:extLst/>
            </c:numRef>
          </c:val>
          <c:smooth val="0"/>
          <c:extLst>
            <c:ext xmlns:c16="http://schemas.microsoft.com/office/drawing/2014/chart" uri="{C3380CC4-5D6E-409C-BE32-E72D297353CC}">
              <c16:uniqueId val="{00000003-CD8D-41EB-A9B5-F257A8B7AB39}"/>
            </c:ext>
          </c:extLst>
        </c:ser>
        <c:ser>
          <c:idx val="4"/>
          <c:order val="4"/>
          <c:tx>
            <c:strRef>
              <c:f>'Turnover charts'!$F$3</c:f>
              <c:strCache>
                <c:ptCount val="1"/>
                <c:pt idx="0">
                  <c:v>NSE Agri. Futures(RHS)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'Turnover charts'!$A$40:$A$52</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extLst/>
            </c:numRef>
          </c:cat>
          <c:val>
            <c:numRef>
              <c:f>'Turnover charts'!$F$40:$F$52</c:f>
              <c:numCache>
                <c:formatCode>#,##0</c:formatCode>
                <c:ptCount val="12"/>
                <c:pt idx="0">
                  <c:v>0</c:v>
                </c:pt>
                <c:pt idx="1">
                  <c:v>0</c:v>
                </c:pt>
                <c:pt idx="2">
                  <c:v>0</c:v>
                </c:pt>
                <c:pt idx="3">
                  <c:v>0</c:v>
                </c:pt>
                <c:pt idx="4">
                  <c:v>0</c:v>
                </c:pt>
                <c:pt idx="5">
                  <c:v>0</c:v>
                </c:pt>
                <c:pt idx="6">
                  <c:v>0</c:v>
                </c:pt>
                <c:pt idx="7">
                  <c:v>0</c:v>
                </c:pt>
                <c:pt idx="8">
                  <c:v>0</c:v>
                </c:pt>
                <c:pt idx="9">
                  <c:v>0</c:v>
                </c:pt>
                <c:pt idx="10">
                  <c:v>0</c:v>
                </c:pt>
                <c:pt idx="11">
                  <c:v>1433.9238400000006</c:v>
                </c:pt>
              </c:numCache>
              <c:extLst/>
            </c:numRef>
          </c:val>
          <c:smooth val="0"/>
          <c:extLst>
            <c:ext xmlns:c16="http://schemas.microsoft.com/office/drawing/2014/chart" uri="{C3380CC4-5D6E-409C-BE32-E72D297353CC}">
              <c16:uniqueId val="{00000004-CD8D-41EB-A9B5-F257A8B7AB39}"/>
            </c:ext>
          </c:extLst>
        </c:ser>
        <c:dLbls>
          <c:showLegendKey val="0"/>
          <c:showVal val="0"/>
          <c:showCatName val="0"/>
          <c:showSerName val="0"/>
          <c:showPercent val="0"/>
          <c:showBubbleSize val="0"/>
        </c:dLbls>
        <c:marker val="1"/>
        <c:smooth val="0"/>
        <c:axId val="511156736"/>
        <c:axId val="511160264"/>
      </c:lineChart>
      <c:dateAx>
        <c:axId val="511158696"/>
        <c:scaling>
          <c:orientation val="minMax"/>
          <c:max val="44166"/>
          <c:min val="43831"/>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159872"/>
        <c:crosses val="autoZero"/>
        <c:auto val="0"/>
        <c:lblOffset val="100"/>
        <c:baseTimeUnit val="months"/>
        <c:majorUnit val="1"/>
        <c:majorTimeUnit val="months"/>
      </c:dateAx>
      <c:valAx>
        <c:axId val="511159872"/>
        <c:scaling>
          <c:orientation val="minMax"/>
          <c:max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158696"/>
        <c:crosses val="autoZero"/>
        <c:crossBetween val="between"/>
      </c:valAx>
      <c:valAx>
        <c:axId val="511160264"/>
        <c:scaling>
          <c:orientation val="minMax"/>
          <c:max val="2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156736"/>
        <c:crosses val="max"/>
        <c:crossBetween val="between"/>
        <c:majorUnit val="1000"/>
      </c:valAx>
      <c:dateAx>
        <c:axId val="511156736"/>
        <c:scaling>
          <c:orientation val="minMax"/>
        </c:scaling>
        <c:delete val="1"/>
        <c:axPos val="b"/>
        <c:numFmt formatCode="mmm\-yy" sourceLinked="1"/>
        <c:majorTickMark val="out"/>
        <c:minorTickMark val="none"/>
        <c:tickLblPos val="nextTo"/>
        <c:crossAx val="511160264"/>
        <c:crosses val="autoZero"/>
        <c:auto val="0"/>
        <c:lblOffset val="100"/>
        <c:baseTimeUnit val="months"/>
      </c:dateAx>
      <c:spPr>
        <a:noFill/>
        <a:ln>
          <a:noFill/>
        </a:ln>
        <a:effectLst/>
      </c:spPr>
    </c:plotArea>
    <c:legend>
      <c:legendPos val="b"/>
      <c:layout>
        <c:manualLayout>
          <c:xMode val="edge"/>
          <c:yMode val="edge"/>
          <c:x val="0.10164675814571447"/>
          <c:y val="0.81530778480276167"/>
          <c:w val="0.82651830466675369"/>
          <c:h val="0.184692245034357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v>MCX Futures (RHS)</c:v>
          </c:tx>
          <c:spPr>
            <a:solidFill>
              <a:srgbClr val="92D050"/>
            </a:solidFill>
            <a:ln>
              <a:solidFill>
                <a:sysClr val="windowText" lastClr="000000"/>
              </a:solidFill>
            </a:ln>
            <a:effectLst/>
          </c:spPr>
          <c:invertIfNegative val="0"/>
          <c:cat>
            <c:numRef>
              <c:f>'Turnover charts'!$J$39:$J$52</c:f>
              <c:numCache>
                <c:formatCode>mmm\-yy</c:formatCode>
                <c:ptCount val="14"/>
                <c:pt idx="0">
                  <c:v>43770</c:v>
                </c:pt>
                <c:pt idx="1">
                  <c:v>43800</c:v>
                </c:pt>
                <c:pt idx="2">
                  <c:v>43831</c:v>
                </c:pt>
                <c:pt idx="3">
                  <c:v>43862</c:v>
                </c:pt>
                <c:pt idx="4">
                  <c:v>43891</c:v>
                </c:pt>
                <c:pt idx="5">
                  <c:v>43922</c:v>
                </c:pt>
                <c:pt idx="6">
                  <c:v>43952</c:v>
                </c:pt>
                <c:pt idx="7">
                  <c:v>43983</c:v>
                </c:pt>
                <c:pt idx="8">
                  <c:v>44013</c:v>
                </c:pt>
                <c:pt idx="9">
                  <c:v>44044</c:v>
                </c:pt>
                <c:pt idx="10">
                  <c:v>44075</c:v>
                </c:pt>
                <c:pt idx="11">
                  <c:v>44105</c:v>
                </c:pt>
                <c:pt idx="12">
                  <c:v>44136</c:v>
                </c:pt>
                <c:pt idx="13">
                  <c:v>44166</c:v>
                </c:pt>
              </c:numCache>
            </c:numRef>
          </c:cat>
          <c:val>
            <c:numRef>
              <c:f>'Turnover charts'!$K$4:$K$52</c:f>
              <c:numCache>
                <c:formatCode>_(* #,##0_);_(* \(#,##0\);_(* "-"??_);_(@_)</c:formatCode>
                <c:ptCount val="34"/>
                <c:pt idx="0">
                  <c:v>502333.84615715011</c:v>
                </c:pt>
                <c:pt idx="1">
                  <c:v>554481.07702095003</c:v>
                </c:pt>
                <c:pt idx="2">
                  <c:v>514263.34081070009</c:v>
                </c:pt>
                <c:pt idx="3">
                  <c:v>488935.25250099995</c:v>
                </c:pt>
                <c:pt idx="4">
                  <c:v>510099.26815124979</c:v>
                </c:pt>
                <c:pt idx="5">
                  <c:v>503460.0791320501</c:v>
                </c:pt>
                <c:pt idx="6">
                  <c:v>540136.1876240999</c:v>
                </c:pt>
                <c:pt idx="7">
                  <c:v>602393.52301564987</c:v>
                </c:pt>
                <c:pt idx="8">
                  <c:v>560373.39216535003</c:v>
                </c:pt>
                <c:pt idx="9">
                  <c:v>515431.74569595006</c:v>
                </c:pt>
                <c:pt idx="10">
                  <c:v>600469.55308069987</c:v>
                </c:pt>
                <c:pt idx="11">
                  <c:v>532389.84253700008</c:v>
                </c:pt>
                <c:pt idx="12">
                  <c:v>567761.35483295005</c:v>
                </c:pt>
                <c:pt idx="13">
                  <c:v>516307.34400520008</c:v>
                </c:pt>
                <c:pt idx="14">
                  <c:v>615537.92995134997</c:v>
                </c:pt>
                <c:pt idx="15">
                  <c:v>569240.9336420499</c:v>
                </c:pt>
                <c:pt idx="16">
                  <c:v>716525.07049199997</c:v>
                </c:pt>
                <c:pt idx="17">
                  <c:v>728211.15374000021</c:v>
                </c:pt>
                <c:pt idx="18">
                  <c:v>781695.78193319985</c:v>
                </c:pt>
                <c:pt idx="19">
                  <c:v>668208.51480580005</c:v>
                </c:pt>
                <c:pt idx="20">
                  <c:v>672255.75945409993</c:v>
                </c:pt>
                <c:pt idx="21">
                  <c:v>644422.79156839987</c:v>
                </c:pt>
                <c:pt idx="22">
                  <c:v>827755.84935100004</c:v>
                </c:pt>
                <c:pt idx="23">
                  <c:v>781969.06022450014</c:v>
                </c:pt>
                <c:pt idx="24">
                  <c:v>774725.27535569982</c:v>
                </c:pt>
                <c:pt idx="25">
                  <c:v>278174.58910059999</c:v>
                </c:pt>
                <c:pt idx="26">
                  <c:v>494950.96162219997</c:v>
                </c:pt>
                <c:pt idx="27">
                  <c:v>623568.06468549999</c:v>
                </c:pt>
                <c:pt idx="28">
                  <c:v>846844.32924410037</c:v>
                </c:pt>
                <c:pt idx="29">
                  <c:v>904796.19616849977</c:v>
                </c:pt>
                <c:pt idx="30">
                  <c:v>745965.04735440004</c:v>
                </c:pt>
                <c:pt idx="31">
                  <c:v>691669.15749930032</c:v>
                </c:pt>
                <c:pt idx="32">
                  <c:v>722827.83065649983</c:v>
                </c:pt>
                <c:pt idx="33">
                  <c:v>649285.71545270004</c:v>
                </c:pt>
              </c:numCache>
            </c:numRef>
          </c:val>
          <c:extLst xmlns:c15="http://schemas.microsoft.com/office/drawing/2012/chart">
            <c:ext xmlns:c16="http://schemas.microsoft.com/office/drawing/2014/chart" uri="{C3380CC4-5D6E-409C-BE32-E72D297353CC}">
              <c16:uniqueId val="{00000000-2F66-43A7-AD2F-7CC2DDD6E5F6}"/>
            </c:ext>
          </c:extLst>
        </c:ser>
        <c:dLbls>
          <c:showLegendKey val="0"/>
          <c:showVal val="0"/>
          <c:showCatName val="0"/>
          <c:showSerName val="0"/>
          <c:showPercent val="0"/>
          <c:showBubbleSize val="0"/>
        </c:dLbls>
        <c:gapWidth val="219"/>
        <c:overlap val="100"/>
        <c:axId val="430927736"/>
        <c:axId val="430928128"/>
        <c:extLst>
          <c:ext xmlns:c15="http://schemas.microsoft.com/office/drawing/2012/chart" uri="{02D57815-91ED-43cb-92C2-25804820EDAC}">
            <c15:filteredBarSeries>
              <c15:ser>
                <c:idx val="1"/>
                <c:order val="1"/>
                <c:tx>
                  <c:v>BSE Futures (LHS)</c:v>
                </c:tx>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charts'!$J$39:$J$52</c15:sqref>
                        </c15:formulaRef>
                      </c:ext>
                    </c:extLst>
                    <c:numCache>
                      <c:formatCode>mmm\-yy</c:formatCode>
                      <c:ptCount val="14"/>
                      <c:pt idx="0">
                        <c:v>43770</c:v>
                      </c:pt>
                      <c:pt idx="1">
                        <c:v>43800</c:v>
                      </c:pt>
                      <c:pt idx="2">
                        <c:v>43831</c:v>
                      </c:pt>
                      <c:pt idx="3">
                        <c:v>43862</c:v>
                      </c:pt>
                      <c:pt idx="4">
                        <c:v>43891</c:v>
                      </c:pt>
                      <c:pt idx="5">
                        <c:v>43922</c:v>
                      </c:pt>
                      <c:pt idx="6">
                        <c:v>43952</c:v>
                      </c:pt>
                      <c:pt idx="7">
                        <c:v>43983</c:v>
                      </c:pt>
                      <c:pt idx="8">
                        <c:v>44013</c:v>
                      </c:pt>
                      <c:pt idx="9">
                        <c:v>44044</c:v>
                      </c:pt>
                      <c:pt idx="10">
                        <c:v>44075</c:v>
                      </c:pt>
                      <c:pt idx="11">
                        <c:v>44105</c:v>
                      </c:pt>
                      <c:pt idx="12">
                        <c:v>44136</c:v>
                      </c:pt>
                      <c:pt idx="13">
                        <c:v>44166</c:v>
                      </c:pt>
                    </c:numCache>
                  </c:numRef>
                </c:cat>
                <c:val>
                  <c:numRef>
                    <c:extLst>
                      <c:ext uri="{02D57815-91ED-43cb-92C2-25804820EDAC}">
                        <c15:formulaRef>
                          <c15:sqref>'Turnover charts'!$L$4:$L$50</c15:sqref>
                        </c15:formulaRef>
                      </c:ext>
                    </c:extLst>
                    <c:numCache>
                      <c:formatCode>_(* #,##0_);_(* \(#,##0\);_(* "-"??_);_(@_)</c:formatCode>
                      <c:ptCount val="32"/>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numCache>
                  </c:numRef>
                </c:val>
                <c:extLst>
                  <c:ext xmlns:c16="http://schemas.microsoft.com/office/drawing/2014/chart" uri="{C3380CC4-5D6E-409C-BE32-E72D297353CC}">
                    <c16:uniqueId val="{00000004-2F66-43A7-AD2F-7CC2DDD6E5F6}"/>
                  </c:ext>
                </c:extLst>
              </c15:ser>
            </c15:filteredBarSeries>
          </c:ext>
        </c:extLst>
      </c:barChart>
      <c:lineChart>
        <c:grouping val="standard"/>
        <c:varyColors val="0"/>
        <c:ser>
          <c:idx val="2"/>
          <c:order val="2"/>
          <c:tx>
            <c:v>BSE Futures (LHS)</c:v>
          </c:tx>
          <c:spPr>
            <a:ln w="19050" cap="rnd">
              <a:solidFill>
                <a:srgbClr val="7030A0"/>
              </a:solidFill>
              <a:prstDash val="dash"/>
              <a:round/>
            </a:ln>
            <a:effectLst/>
          </c:spPr>
          <c:marker>
            <c:symbol val="diamond"/>
            <c:size val="5"/>
            <c:spPr>
              <a:solidFill>
                <a:srgbClr val="7030A0"/>
              </a:solidFill>
              <a:ln w="19050">
                <a:solidFill>
                  <a:srgbClr val="7030A0"/>
                </a:solidFill>
                <a:prstDash val="dash"/>
              </a:ln>
              <a:effectLst/>
            </c:spPr>
          </c:marker>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charts'!$M$4:$M$52</c:f>
              <c:numCache>
                <c:formatCode>General</c:formatCode>
                <c:ptCount val="34"/>
                <c:pt idx="7" formatCode="_(* #,##0_);_(* \(#,##0\);_(* &quot;-&quot;??_);_(@_)">
                  <c:v>7049.36</c:v>
                </c:pt>
                <c:pt idx="8" formatCode="_(* #,##0_);_(* \(#,##0\);_(* &quot;-&quot;??_);_(@_)">
                  <c:v>7228.18</c:v>
                </c:pt>
                <c:pt idx="9" formatCode="_(* #,##0_);_(* \(#,##0\);_(* &quot;-&quot;??_);_(@_)">
                  <c:v>3754.7995000000001</c:v>
                </c:pt>
                <c:pt idx="10" formatCode="_(* #,##0_);_(* \(#,##0\);_(* &quot;-&quot;??_);_(@_)">
                  <c:v>6538.5090380000001</c:v>
                </c:pt>
                <c:pt idx="11" formatCode="_(* #,##0_);_(* \(#,##0\);_(* &quot;-&quot;??_);_(@_)">
                  <c:v>1990.250556</c:v>
                </c:pt>
                <c:pt idx="12" formatCode="_(* #,##0_);_(* \(#,##0\);_(* &quot;-&quot;??_);_(@_)">
                  <c:v>1523.74</c:v>
                </c:pt>
                <c:pt idx="13" formatCode="_(* #,##0_);_(* \(#,##0\);_(* &quot;-&quot;??_);_(@_)">
                  <c:v>2218.23</c:v>
                </c:pt>
                <c:pt idx="14" formatCode="_(* #,##0_);_(* \(#,##0\);_(* &quot;-&quot;??_);_(@_)">
                  <c:v>2157.7899499999999</c:v>
                </c:pt>
                <c:pt idx="15" formatCode="_(* #,##0_);_(* \(#,##0\);_(* &quot;-&quot;??_);_(@_)">
                  <c:v>1756.83</c:v>
                </c:pt>
                <c:pt idx="16" formatCode="_(* #,##0_);_(* \(#,##0\);_(* &quot;-&quot;??_);_(@_)">
                  <c:v>713.38525000000004</c:v>
                </c:pt>
                <c:pt idx="17" formatCode="_(* #,##0_);_(* \(#,##0\);_(* &quot;-&quot;??_);_(@_)">
                  <c:v>521.28</c:v>
                </c:pt>
                <c:pt idx="18" formatCode="_(* #,##0_);_(* \(#,##0\);_(* &quot;-&quot;??_);_(@_)">
                  <c:v>523.60118499999999</c:v>
                </c:pt>
                <c:pt idx="19" formatCode="_(* #,##0_);_(* \(#,##0\);_(* &quot;-&quot;??_);_(@_)">
                  <c:v>317.45999999999998</c:v>
                </c:pt>
                <c:pt idx="20" formatCode="_(* #,##0_);_(* \(#,##0\);_(* &quot;-&quot;??_);_(@_)">
                  <c:v>102.15</c:v>
                </c:pt>
                <c:pt idx="21" formatCode="_(* #,##0_);_(* \(#,##0\);_(* &quot;-&quot;??_);_(@_)">
                  <c:v>49.92</c:v>
                </c:pt>
                <c:pt idx="22" formatCode="_(* #,##0_);_(* \(#,##0\);_(* &quot;-&quot;??_);_(@_)">
                  <c:v>506.52000000000004</c:v>
                </c:pt>
                <c:pt idx="23" formatCode="_(* #,##0_);_(* \(#,##0\);_(* &quot;-&quot;??_);_(@_)">
                  <c:v>995.73</c:v>
                </c:pt>
                <c:pt idx="24" formatCode="_(* #,##0_);_(* \(#,##0\);_(* &quot;-&quot;??_);_(@_)">
                  <c:v>259.89</c:v>
                </c:pt>
                <c:pt idx="25" formatCode="0.00">
                  <c:v>0</c:v>
                </c:pt>
                <c:pt idx="26" formatCode="_(* #,##0_);_(* \(#,##0\);_(* &quot;-&quot;??_);_(@_)">
                  <c:v>0.57201000000000002</c:v>
                </c:pt>
                <c:pt idx="27" formatCode="_(* #,##0_);_(* \(#,##0\);_(* &quot;-&quot;??_);_(@_)">
                  <c:v>18.64</c:v>
                </c:pt>
                <c:pt idx="28" formatCode="0.00">
                  <c:v>0</c:v>
                </c:pt>
                <c:pt idx="29" formatCode="0.00">
                  <c:v>0</c:v>
                </c:pt>
                <c:pt idx="30" formatCode="_(* #,##0_);_(* \(#,##0\);_(* &quot;-&quot;??_);_(@_)">
                  <c:v>4.01</c:v>
                </c:pt>
                <c:pt idx="31" formatCode="_(* #,##0_);_(* \(#,##0\);_(* &quot;-&quot;??_);_(@_)">
                  <c:v>11.15</c:v>
                </c:pt>
                <c:pt idx="32" formatCode="_(* #,##0_);_(* \(#,##0\);_(* &quot;-&quot;??_);_(@_)">
                  <c:v>10.53</c:v>
                </c:pt>
                <c:pt idx="33" formatCode="_(* #,##0_);_(* \(#,##0\);_(* &quot;-&quot;??_);_(@_)">
                  <c:v>11.42</c:v>
                </c:pt>
              </c:numCache>
            </c:numRef>
          </c:val>
          <c:smooth val="0"/>
          <c:extLst>
            <c:ext xmlns:c16="http://schemas.microsoft.com/office/drawing/2014/chart" uri="{C3380CC4-5D6E-409C-BE32-E72D297353CC}">
              <c16:uniqueId val="{00000001-2F66-43A7-AD2F-7CC2DDD6E5F6}"/>
            </c:ext>
          </c:extLst>
        </c:ser>
        <c:ser>
          <c:idx val="4"/>
          <c:order val="4"/>
          <c:tx>
            <c:v>NSE Futures (LHS)</c:v>
          </c:tx>
          <c:spPr>
            <a:ln w="19050" cap="rnd">
              <a:solidFill>
                <a:srgbClr val="C0504D">
                  <a:lumMod val="75000"/>
                </a:srgbClr>
              </a:solidFill>
              <a:prstDash val="sysDash"/>
              <a:round/>
            </a:ln>
            <a:effectLst/>
          </c:spPr>
          <c:marker>
            <c:symbol val="none"/>
          </c:marker>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charts'!$O$4:$O$52</c:f>
              <c:numCache>
                <c:formatCode>General</c:formatCode>
                <c:ptCount val="34"/>
                <c:pt idx="7" formatCode="_(* #,##0_);_(* \(#,##0\);_(* &quot;-&quot;??_);_(@_)">
                  <c:v>696</c:v>
                </c:pt>
                <c:pt idx="8" formatCode="_(* #,##0_);_(* \(#,##0\);_(* &quot;-&quot;??_);_(@_)">
                  <c:v>838</c:v>
                </c:pt>
                <c:pt idx="9" formatCode="_(* #,##0_);_(* \(#,##0\);_(* &quot;-&quot;??_);_(@_)">
                  <c:v>532.61176099999989</c:v>
                </c:pt>
                <c:pt idx="10" formatCode="_(* #,##0_);_(* \(#,##0\);_(* &quot;-&quot;??_);_(@_)">
                  <c:v>448.81896000000006</c:v>
                </c:pt>
                <c:pt idx="11" formatCode="_(* #,##0_);_(* \(#,##0\);_(* &quot;-&quot;??_);_(@_)">
                  <c:v>498.68747400000018</c:v>
                </c:pt>
                <c:pt idx="12" formatCode="_(* #,##0_);_(* \(#,##0\);_(* &quot;-&quot;??_);_(@_)">
                  <c:v>429.59991599999989</c:v>
                </c:pt>
                <c:pt idx="13" formatCode="_ * #,##0_ ;_ * \-#,##0_ ;_ * &quot;-&quot;??_ ;_ @_ ">
                  <c:v>489.78634199999982</c:v>
                </c:pt>
                <c:pt idx="14" formatCode="_ * #,##0_ ;_ * \-#,##0_ ;_ * &quot;-&quot;??_ ;_ @_ ">
                  <c:v>442.31177699999989</c:v>
                </c:pt>
                <c:pt idx="15" formatCode="_ * #,##0_ ;_ * \-#,##0_ ;_ * &quot;-&quot;??_ ;_ @_ ">
                  <c:v>433.71475299999997</c:v>
                </c:pt>
                <c:pt idx="16" formatCode="_ * #,##0_ ;_ * \-#,##0_ ;_ * &quot;-&quot;??_ ;_ @_ ">
                  <c:v>503.29481899999996</c:v>
                </c:pt>
                <c:pt idx="17" formatCode="_ * #,##0_ ;_ * \-#,##0_ ;_ * &quot;-&quot;??_ ;_ @_ ">
                  <c:v>1488.9719589999997</c:v>
                </c:pt>
                <c:pt idx="18" formatCode="_ * #,##0_ ;_ * \-#,##0_ ;_ * &quot;-&quot;??_ ;_ @_ ">
                  <c:v>935.04276299999981</c:v>
                </c:pt>
                <c:pt idx="19" formatCode="_ * #,##0_ ;_ * \-#,##0_ ;_ * &quot;-&quot;??_ ;_ @_ ">
                  <c:v>866.89360199999999</c:v>
                </c:pt>
                <c:pt idx="20" formatCode="_ * #,##0_ ;_ * \-#,##0_ ;_ * &quot;-&quot;??_ ;_ @_ ">
                  <c:v>721.01195100000018</c:v>
                </c:pt>
                <c:pt idx="21" formatCode="_ * #,##0_ ;_ * \-#,##0_ ;_ * &quot;-&quot;??_ ;_ @_ ">
                  <c:v>118.52533</c:v>
                </c:pt>
                <c:pt idx="22" formatCode="_ * #,##0_ ;_ * \-#,##0_ ;_ * &quot;-&quot;??_ ;_ @_ ">
                  <c:v>112.63363</c:v>
                </c:pt>
                <c:pt idx="23" formatCode="_ * #,##0_ ;_ * \-#,##0_ ;_ * &quot;-&quot;??_ ;_ @_ ">
                  <c:v>157.351113</c:v>
                </c:pt>
                <c:pt idx="24" formatCode="_(* #,##0_);_(* \(#,##0\);_(* &quot;-&quot;??_);_(@_)">
                  <c:v>92.761235999999997</c:v>
                </c:pt>
                <c:pt idx="25" formatCode="_(* #,##0_);_(* \(#,##0\);_(* &quot;-&quot;??_);_(@_)">
                  <c:v>57.360366999999997</c:v>
                </c:pt>
                <c:pt idx="26" formatCode="_(* #,##0_);_(* \(#,##0\);_(* &quot;-&quot;??_);_(@_)">
                  <c:v>76.517431000000016</c:v>
                </c:pt>
                <c:pt idx="27" formatCode="_(* #,##0_);_(* \(#,##0\);_(* &quot;-&quot;??_);_(@_)">
                  <c:v>209.17937999999998</c:v>
                </c:pt>
                <c:pt idx="28" formatCode="_(* #,##0_);_(* \(#,##0\);_(* &quot;-&quot;??_);_(@_)">
                  <c:v>45.493170000000013</c:v>
                </c:pt>
                <c:pt idx="29" formatCode="_(* #,##0_);_(* \(#,##0\);_(* &quot;-&quot;??_);_(@_)">
                  <c:v>92.012484999999998</c:v>
                </c:pt>
                <c:pt idx="30" formatCode="_(* #,##0_);_(* \(#,##0\);_(* &quot;-&quot;??_);_(@_)">
                  <c:v>65.526607000000013</c:v>
                </c:pt>
                <c:pt idx="31" formatCode="_(* #,##0_);_(* \(#,##0\);_(* &quot;-&quot;??_);_(@_)">
                  <c:v>14.122890999999999</c:v>
                </c:pt>
                <c:pt idx="32" formatCode="_(* #,##0_);_(* \(#,##0\);_(* &quot;-&quot;??_);_(@_)">
                  <c:v>18.669679000000002</c:v>
                </c:pt>
                <c:pt idx="33" formatCode="_(* #,##0_);_(* \(#,##0\);_(* &quot;-&quot;??_);_(@_)">
                  <c:v>15.143264000000002</c:v>
                </c:pt>
              </c:numCache>
            </c:numRef>
          </c:val>
          <c:smooth val="0"/>
          <c:extLst>
            <c:ext xmlns:c16="http://schemas.microsoft.com/office/drawing/2014/chart" uri="{C3380CC4-5D6E-409C-BE32-E72D297353CC}">
              <c16:uniqueId val="{00000002-2F66-43A7-AD2F-7CC2DDD6E5F6}"/>
            </c:ext>
          </c:extLst>
        </c:ser>
        <c:ser>
          <c:idx val="6"/>
          <c:order val="6"/>
          <c:tx>
            <c:v>ICEX Futures (LHS)</c:v>
          </c:tx>
          <c:spPr>
            <a:ln w="19050" cap="rnd">
              <a:solidFill>
                <a:srgbClr val="FF3399"/>
              </a:solidFill>
              <a:round/>
            </a:ln>
            <a:effectLst/>
          </c:spPr>
          <c:marker>
            <c:symbol val="none"/>
          </c:marker>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charts'!$Q$4:$Q$52</c:f>
              <c:numCache>
                <c:formatCode>_(* #,##0_);_(* \(#,##0\);_(* "-"??_);_(@_)</c:formatCode>
                <c:ptCount val="34"/>
                <c:pt idx="0">
                  <c:v>416.07</c:v>
                </c:pt>
                <c:pt idx="1">
                  <c:v>479.26</c:v>
                </c:pt>
                <c:pt idx="2">
                  <c:v>362.4169</c:v>
                </c:pt>
                <c:pt idx="3">
                  <c:v>294.87927165000002</c:v>
                </c:pt>
                <c:pt idx="4">
                  <c:v>465.09</c:v>
                </c:pt>
                <c:pt idx="5">
                  <c:v>432.48</c:v>
                </c:pt>
                <c:pt idx="6">
                  <c:v>931.1400000000001</c:v>
                </c:pt>
                <c:pt idx="7">
                  <c:v>1605.41</c:v>
                </c:pt>
                <c:pt idx="8">
                  <c:v>2282</c:v>
                </c:pt>
                <c:pt idx="9">
                  <c:v>2864.81</c:v>
                </c:pt>
                <c:pt idx="10">
                  <c:v>3465.17</c:v>
                </c:pt>
                <c:pt idx="11" formatCode="_ * #,##0_ ;_ * \-#,##0_ ;_ * &quot;-&quot;??_ ;_ @_ ">
                  <c:v>5142.6001000000006</c:v>
                </c:pt>
                <c:pt idx="12" formatCode="_ * #,##0_ ;_ * \-#,##0_ ;_ * &quot;-&quot;??_ ;_ @_ ">
                  <c:v>4639</c:v>
                </c:pt>
                <c:pt idx="13" formatCode="_ * #,##0_ ;_ * \-#,##0_ ;_ * &quot;-&quot;??_ ;_ @_ ">
                  <c:v>4213.75</c:v>
                </c:pt>
                <c:pt idx="14" formatCode="_ * #,##0_ ;_ * \-#,##0_ ;_ * &quot;-&quot;??_ ;_ @_ ">
                  <c:v>4377.28</c:v>
                </c:pt>
                <c:pt idx="15" formatCode="_ * #,##0_ ;_ * \-#,##0_ ;_ * &quot;-&quot;??_ ;_ @_ ">
                  <c:v>2098.69</c:v>
                </c:pt>
                <c:pt idx="16" formatCode="_ * #,##0_ ;_ * \-#,##0_ ;_ * &quot;-&quot;??_ ;_ @_ ">
                  <c:v>1620.43</c:v>
                </c:pt>
                <c:pt idx="17" formatCode="_ * #,##0_ ;_ * \-#,##0_ ;_ * &quot;-&quot;??_ ;_ @_ ">
                  <c:v>1905.46</c:v>
                </c:pt>
                <c:pt idx="18" formatCode="_ * #,##0_ ;_ * \-#,##0_ ;_ * &quot;-&quot;??_ ;_ @_ ">
                  <c:v>1203.5981999999999</c:v>
                </c:pt>
                <c:pt idx="19" formatCode="_ * #,##0_ ;_ * \-#,##0_ ;_ * &quot;-&quot;??_ ;_ @_ ">
                  <c:v>3028.555050220004</c:v>
                </c:pt>
                <c:pt idx="20" formatCode="_ * #,##0_ ;_ * \-#,##0_ ;_ * &quot;-&quot;??_ ;_ @_ ">
                  <c:v>2871.1499999999996</c:v>
                </c:pt>
                <c:pt idx="21" formatCode="_ * #,##0_ ;_ * \-#,##0_ ;_ * &quot;-&quot;??_ ;_ @_ ">
                  <c:v>3042.59</c:v>
                </c:pt>
                <c:pt idx="22" formatCode="_ * #,##0_ ;_ * \-#,##0_ ;_ * &quot;-&quot;??_ ;_ @_ ">
                  <c:v>4160.09</c:v>
                </c:pt>
                <c:pt idx="23" formatCode="_ * #,##0_ ;_ * \-#,##0_ ;_ * &quot;-&quot;??_ ;_ @_ ">
                  <c:v>3755.1499999999996</c:v>
                </c:pt>
                <c:pt idx="24" formatCode="_ * #,##0_ ;_ * \-#,##0_ ;_ * &quot;-&quot;??_ ;_ @_ ">
                  <c:v>2881.026557055</c:v>
                </c:pt>
                <c:pt idx="25" formatCode="_ * #,##0_ ;_ * \-#,##0_ ;_ * &quot;-&quot;??_ ;_ @_ ">
                  <c:v>723.36930000000007</c:v>
                </c:pt>
                <c:pt idx="26" formatCode="_ * #,##0_ ;_ * \-#,##0_ ;_ * &quot;-&quot;??_ ;_ @_ ">
                  <c:v>489.81</c:v>
                </c:pt>
                <c:pt idx="27" formatCode="_ * #,##0_ ;_ * \-#,##0_ ;_ * &quot;-&quot;??_ ;_ @_ ">
                  <c:v>83.703000000000003</c:v>
                </c:pt>
                <c:pt idx="28" formatCode="_ * #,##0_ ;_ * \-#,##0_ ;_ * &quot;-&quot;??_ ;_ @_ ">
                  <c:v>4.3270248599999999</c:v>
                </c:pt>
                <c:pt idx="29" formatCode="_ * #,##0.000_ ;_ * \-#,##0.000_ ;_ * &quot;-&quot;??_ ;_ @_ ">
                  <c:v>1.6379999999999999E-3</c:v>
                </c:pt>
                <c:pt idx="30" formatCode="_ * #,##0.0_ ;_ * \-#,##0.0_ ;_ * &quot;-&quot;??_ ;_ @_ ">
                  <c:v>0.1153</c:v>
                </c:pt>
                <c:pt idx="31" formatCode="_ * #,##0.0_ ;_ * \-#,##0.0_ ;_ * &quot;-&quot;??_ ;_ @_ ">
                  <c:v>0.1066</c:v>
                </c:pt>
                <c:pt idx="32" formatCode="_(* #,##0.00_);_(* \(#,##0.00\);_(* &quot;-&quot;??_);_(@_)">
                  <c:v>2.7824999999999999E-2</c:v>
                </c:pt>
                <c:pt idx="33" formatCode="_(* #,##0.00_);_(* \(#,##0.00\);_(* &quot;-&quot;??_);_(@_)">
                  <c:v>1.8845000000000001</c:v>
                </c:pt>
              </c:numCache>
            </c:numRef>
          </c:val>
          <c:smooth val="0"/>
          <c:extLst>
            <c:ext xmlns:c16="http://schemas.microsoft.com/office/drawing/2014/chart" uri="{C3380CC4-5D6E-409C-BE32-E72D297353CC}">
              <c16:uniqueId val="{00000003-2F66-43A7-AD2F-7CC2DDD6E5F6}"/>
            </c:ext>
          </c:extLst>
        </c:ser>
        <c:dLbls>
          <c:showLegendKey val="0"/>
          <c:showVal val="0"/>
          <c:showCatName val="0"/>
          <c:showSerName val="0"/>
          <c:showPercent val="0"/>
          <c:showBubbleSize val="0"/>
        </c:dLbls>
        <c:marker val="1"/>
        <c:smooth val="0"/>
        <c:axId val="430927344"/>
        <c:axId val="430926560"/>
        <c:extLst>
          <c:ext xmlns:c15="http://schemas.microsoft.com/office/drawing/2012/chart" uri="{02D57815-91ED-43cb-92C2-25804820EDAC}">
            <c15:filteredLineSeries>
              <c15:ser>
                <c:idx val="3"/>
                <c:order val="3"/>
                <c:tx>
                  <c:strRef>
                    <c:extLst>
                      <c:ext uri="{02D57815-91ED-43cb-92C2-25804820EDAC}">
                        <c15:formulaRef>
                          <c15:sqref>'Turnover charts'!$N$3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charts'!$J$4:$J$52</c15:sqref>
                        </c15:formulaRef>
                      </c:ext>
                    </c:extLst>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extLst>
                      <c:ext uri="{02D57815-91ED-43cb-92C2-25804820EDAC}">
                        <c15:formulaRef>
                          <c15:sqref>'Turnover charts'!$N$4:$N$48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numCache>
                  </c:numRef>
                </c:val>
                <c:smooth val="0"/>
                <c:extLst>
                  <c:ext xmlns:c16="http://schemas.microsoft.com/office/drawing/2014/chart" uri="{C3380CC4-5D6E-409C-BE32-E72D297353CC}">
                    <c16:uniqueId val="{00000005-2F66-43A7-AD2F-7CC2DDD6E5F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charts'!$P$3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charts'!$J$4:$J$52</c15:sqref>
                        </c15:formulaRef>
                      </c:ext>
                    </c:extLst>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extLst xmlns:c15="http://schemas.microsoft.com/office/drawing/2012/chart">
                      <c:ext xmlns:c15="http://schemas.microsoft.com/office/drawing/2012/chart" uri="{02D57815-91ED-43cb-92C2-25804820EDAC}">
                        <c15:formulaRef>
                          <c15:sqref>'Turnover charts'!$P$4:$P$48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numCache>
                  </c:numRef>
                </c:val>
                <c:smooth val="0"/>
                <c:extLst xmlns:c15="http://schemas.microsoft.com/office/drawing/2012/chart">
                  <c:ext xmlns:c16="http://schemas.microsoft.com/office/drawing/2014/chart" uri="{C3380CC4-5D6E-409C-BE32-E72D297353CC}">
                    <c16:uniqueId val="{00000006-2F66-43A7-AD2F-7CC2DDD6E5F6}"/>
                  </c:ext>
                </c:extLst>
              </c15:ser>
            </c15:filteredLineSeries>
          </c:ext>
        </c:extLst>
      </c:lineChart>
      <c:dateAx>
        <c:axId val="430927344"/>
        <c:scaling>
          <c:orientation val="minMax"/>
          <c:min val="43831"/>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30926560"/>
        <c:crosses val="autoZero"/>
        <c:auto val="1"/>
        <c:lblOffset val="100"/>
        <c:baseTimeUnit val="months"/>
      </c:dateAx>
      <c:valAx>
        <c:axId val="430926560"/>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30927344"/>
        <c:crosses val="autoZero"/>
        <c:crossBetween val="between"/>
        <c:majorUnit val="1000"/>
      </c:valAx>
      <c:valAx>
        <c:axId val="430928128"/>
        <c:scaling>
          <c:orientation val="minMax"/>
          <c:max val="10000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30927736"/>
        <c:crosses val="max"/>
        <c:crossBetween val="between"/>
      </c:valAx>
      <c:dateAx>
        <c:axId val="430927736"/>
        <c:scaling>
          <c:orientation val="minMax"/>
        </c:scaling>
        <c:delete val="1"/>
        <c:axPos val="b"/>
        <c:numFmt formatCode="mmm\-yy" sourceLinked="1"/>
        <c:majorTickMark val="out"/>
        <c:minorTickMark val="none"/>
        <c:tickLblPos val="nextTo"/>
        <c:crossAx val="430928128"/>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6899943817894811"/>
          <c:h val="0.72457814568050793"/>
        </c:manualLayout>
      </c:layout>
      <c:barChart>
        <c:barDir val="col"/>
        <c:grouping val="stacked"/>
        <c:varyColors val="0"/>
        <c:ser>
          <c:idx val="1"/>
          <c:order val="0"/>
          <c:tx>
            <c:v>MCX Options (LHS)</c:v>
          </c:tx>
          <c:spPr>
            <a:solidFill>
              <a:schemeClr val="accent2"/>
            </a:solidFill>
            <a:ln w="12700">
              <a:solidFill>
                <a:schemeClr val="tx1">
                  <a:lumMod val="75000"/>
                  <a:lumOff val="25000"/>
                </a:schemeClr>
              </a:solidFill>
            </a:ln>
            <a:effectLst/>
          </c:spPr>
          <c:invertIfNegative val="0"/>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charts'!$L$4:$L$52</c:f>
              <c:numCache>
                <c:formatCode>_(* #,##0_);_(* \(#,##0\);_(* "-"??_);_(@_)</c:formatCode>
                <c:ptCount val="34"/>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pt idx="33">
                  <c:v>15258.518517999999</c:v>
                </c:pt>
              </c:numCache>
            </c:numRef>
          </c:val>
          <c:extLst>
            <c:ext xmlns:c16="http://schemas.microsoft.com/office/drawing/2014/chart" uri="{C3380CC4-5D6E-409C-BE32-E72D297353CC}">
              <c16:uniqueId val="{00000000-3CC0-4CA5-861F-819A55129453}"/>
            </c:ext>
          </c:extLst>
        </c:ser>
        <c:dLbls>
          <c:showLegendKey val="0"/>
          <c:showVal val="0"/>
          <c:showCatName val="0"/>
          <c:showSerName val="0"/>
          <c:showPercent val="0"/>
          <c:showBubbleSize val="0"/>
        </c:dLbls>
        <c:gapWidth val="219"/>
        <c:overlap val="100"/>
        <c:axId val="429753520"/>
        <c:axId val="429754696"/>
      </c:barChart>
      <c:lineChart>
        <c:grouping val="standard"/>
        <c:varyColors val="0"/>
        <c:ser>
          <c:idx val="5"/>
          <c:order val="2"/>
          <c:tx>
            <c:v>NSE Options (LHS)</c:v>
          </c:tx>
          <c:spPr>
            <a:ln w="28575" cap="rnd">
              <a:solidFill>
                <a:schemeClr val="accent6"/>
              </a:solidFill>
              <a:round/>
            </a:ln>
            <a:effectLst/>
          </c:spPr>
          <c:marker>
            <c:symbol val="none"/>
          </c:marker>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charts'!$P$4:$P$52</c:f>
              <c:numCache>
                <c:formatCode>General</c:formatCode>
                <c:ptCount val="34"/>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pt idx="33" formatCode="_ * #,##0_ ;_ * \-#,##0_ ;_ * &quot;-&quot;??_ ;_ @_ ">
                  <c:v>1537.8181204999996</c:v>
                </c:pt>
              </c:numCache>
            </c:numRef>
          </c:val>
          <c:smooth val="0"/>
          <c:extLst>
            <c:ext xmlns:c16="http://schemas.microsoft.com/office/drawing/2014/chart" uri="{C3380CC4-5D6E-409C-BE32-E72D297353CC}">
              <c16:uniqueId val="{00000001-3CC0-4CA5-861F-819A55129453}"/>
            </c:ext>
          </c:extLst>
        </c:ser>
        <c:dLbls>
          <c:showLegendKey val="0"/>
          <c:showVal val="0"/>
          <c:showCatName val="0"/>
          <c:showSerName val="0"/>
          <c:showPercent val="0"/>
          <c:showBubbleSize val="0"/>
        </c:dLbls>
        <c:marker val="1"/>
        <c:smooth val="0"/>
        <c:axId val="429753520"/>
        <c:axId val="429754696"/>
      </c:lineChart>
      <c:lineChart>
        <c:grouping val="standard"/>
        <c:varyColors val="0"/>
        <c:ser>
          <c:idx val="3"/>
          <c:order val="1"/>
          <c:tx>
            <c:strRef>
              <c:f>'Turnover charts'!$N$3</c:f>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'Turnover charts'!$J$4:$J$52</c:f>
              <c:numCache>
                <c:formatCode>mmm\-yy</c:formatCode>
                <c:ptCount val="34"/>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numCache>
            </c:numRef>
          </c:cat>
          <c:val>
            <c:numRef>
              <c:f>'Turnover charts'!$N$4:$N$52</c:f>
              <c:numCache>
                <c:formatCode>General</c:formatCode>
                <c:ptCount val="34"/>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pt idx="33" formatCode="_ * #,##0_ ;_ * \-#,##0_ ;_ * &quot;-&quot;??_ ;_ @_ ">
                  <c:v>66801.039999999994</c:v>
                </c:pt>
              </c:numCache>
            </c:numRef>
          </c:val>
          <c:smooth val="0"/>
          <c:extLst>
            <c:ext xmlns:c16="http://schemas.microsoft.com/office/drawing/2014/chart" uri="{C3380CC4-5D6E-409C-BE32-E72D297353CC}">
              <c16:uniqueId val="{00000002-3CC0-4CA5-861F-819A55129453}"/>
            </c:ext>
          </c:extLst>
        </c:ser>
        <c:dLbls>
          <c:showLegendKey val="0"/>
          <c:showVal val="0"/>
          <c:showCatName val="0"/>
          <c:showSerName val="0"/>
          <c:showPercent val="0"/>
          <c:showBubbleSize val="0"/>
        </c:dLbls>
        <c:marker val="1"/>
        <c:smooth val="0"/>
        <c:axId val="429754304"/>
        <c:axId val="429753912"/>
      </c:lineChart>
      <c:dateAx>
        <c:axId val="429753520"/>
        <c:scaling>
          <c:orientation val="minMax"/>
          <c:min val="43831"/>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4696"/>
        <c:crosses val="autoZero"/>
        <c:auto val="1"/>
        <c:lblOffset val="100"/>
        <c:baseTimeUnit val="months"/>
      </c:dateAx>
      <c:valAx>
        <c:axId val="429754696"/>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3520"/>
        <c:crosses val="autoZero"/>
        <c:crossBetween val="between"/>
        <c:majorUnit val="5000"/>
        <c:minorUnit val="5000"/>
      </c:valAx>
      <c:valAx>
        <c:axId val="429753912"/>
        <c:scaling>
          <c:orientation val="minMax"/>
          <c:max val="75000"/>
          <c:min val="0"/>
        </c:scaling>
        <c:delete val="0"/>
        <c:axPos val="r"/>
        <c:title>
          <c:tx>
            <c:rich>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0.96802305074641692"/>
              <c:y val="0.31903100347750651"/>
            </c:manualLayout>
          </c:layout>
          <c:overlay val="0"/>
          <c:spPr>
            <a:noFill/>
            <a:ln>
              <a:noFill/>
            </a:ln>
            <a:effectLst/>
          </c:spPr>
          <c:txPr>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4304"/>
        <c:crosses val="max"/>
        <c:crossBetween val="between"/>
        <c:majorUnit val="10000"/>
      </c:valAx>
      <c:dateAx>
        <c:axId val="429754304"/>
        <c:scaling>
          <c:orientation val="minMax"/>
        </c:scaling>
        <c:delete val="1"/>
        <c:axPos val="b"/>
        <c:numFmt formatCode="mmm\-yy" sourceLinked="1"/>
        <c:majorTickMark val="out"/>
        <c:minorTickMark val="none"/>
        <c:tickLblPos val="nextTo"/>
        <c:crossAx val="429753912"/>
        <c:crossesAt val="0"/>
        <c:auto val="1"/>
        <c:lblOffset val="100"/>
        <c:baseTimeUnit val="months"/>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097787114319211E-2"/>
          <c:y val="1.8517540468845302E-2"/>
          <c:w val="0.9343132058273208"/>
          <c:h val="0.78347670826860927"/>
        </c:manualLayout>
      </c:layout>
      <c:lineChart>
        <c:grouping val="standard"/>
        <c:varyColors val="0"/>
        <c:ser>
          <c:idx val="0"/>
          <c:order val="0"/>
          <c:tx>
            <c:strRef>
              <c:f>'10 Year Bond Yield'!$B$1</c:f>
              <c:strCache>
                <c:ptCount val="1"/>
                <c:pt idx="0">
                  <c:v>Germany</c:v>
                </c:pt>
              </c:strCache>
            </c:strRef>
          </c:tx>
          <c:spPr>
            <a:ln w="28575" cap="rnd">
              <a:solidFill>
                <a:schemeClr val="accent1"/>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Yield'!$B$2350:$B$2611</c:f>
              <c:numCache>
                <c:formatCode>General</c:formatCode>
                <c:ptCount val="262"/>
                <c:pt idx="0">
                  <c:v>-0.186</c:v>
                </c:pt>
                <c:pt idx="1">
                  <c:v>-0.223</c:v>
                </c:pt>
                <c:pt idx="2">
                  <c:v>-0.27800000000000002</c:v>
                </c:pt>
                <c:pt idx="3">
                  <c:v>-0.28699999999999998</c:v>
                </c:pt>
                <c:pt idx="4">
                  <c:v>-0.28499999999999998</c:v>
                </c:pt>
                <c:pt idx="5">
                  <c:v>-0.20699999999999999</c:v>
                </c:pt>
                <c:pt idx="6">
                  <c:v>-0.17899999999999999</c:v>
                </c:pt>
                <c:pt idx="7">
                  <c:v>-0.19900000000000001</c:v>
                </c:pt>
                <c:pt idx="8">
                  <c:v>-0.159</c:v>
                </c:pt>
                <c:pt idx="9">
                  <c:v>-0.17100000000000001</c:v>
                </c:pt>
                <c:pt idx="10">
                  <c:v>-0.2</c:v>
                </c:pt>
                <c:pt idx="11">
                  <c:v>-0.219</c:v>
                </c:pt>
                <c:pt idx="12">
                  <c:v>-0.215</c:v>
                </c:pt>
                <c:pt idx="13">
                  <c:v>-0.218</c:v>
                </c:pt>
                <c:pt idx="14">
                  <c:v>-0.248</c:v>
                </c:pt>
                <c:pt idx="15">
                  <c:v>-0.26</c:v>
                </c:pt>
                <c:pt idx="16">
                  <c:v>-0.308</c:v>
                </c:pt>
                <c:pt idx="17">
                  <c:v>-0.33500000000000002</c:v>
                </c:pt>
                <c:pt idx="18">
                  <c:v>-0.38500000000000001</c:v>
                </c:pt>
                <c:pt idx="19">
                  <c:v>-0.34100000000000003</c:v>
                </c:pt>
                <c:pt idx="20">
                  <c:v>-0.377</c:v>
                </c:pt>
                <c:pt idx="21">
                  <c:v>-0.40600000000000003</c:v>
                </c:pt>
                <c:pt idx="22">
                  <c:v>-0.434</c:v>
                </c:pt>
                <c:pt idx="23">
                  <c:v>-0.442</c:v>
                </c:pt>
                <c:pt idx="24">
                  <c:v>-0.39900000000000002</c:v>
                </c:pt>
                <c:pt idx="25">
                  <c:v>-0.35899999999999999</c:v>
                </c:pt>
                <c:pt idx="26">
                  <c:v>-0.37</c:v>
                </c:pt>
                <c:pt idx="27">
                  <c:v>-0.38600000000000001</c:v>
                </c:pt>
                <c:pt idx="28">
                  <c:v>-0.41099999999999998</c:v>
                </c:pt>
                <c:pt idx="29">
                  <c:v>-0.39100000000000001</c:v>
                </c:pt>
                <c:pt idx="30">
                  <c:v>-0.378</c:v>
                </c:pt>
                <c:pt idx="31">
                  <c:v>-0.38600000000000001</c:v>
                </c:pt>
                <c:pt idx="32">
                  <c:v>-0.40100000000000002</c:v>
                </c:pt>
                <c:pt idx="33">
                  <c:v>-0.40100000000000002</c:v>
                </c:pt>
                <c:pt idx="34">
                  <c:v>-0.40699999999999997</c:v>
                </c:pt>
                <c:pt idx="35">
                  <c:v>-0.41799999999999998</c:v>
                </c:pt>
                <c:pt idx="36">
                  <c:v>-0.44400000000000001</c:v>
                </c:pt>
                <c:pt idx="37">
                  <c:v>-0.43099999999999999</c:v>
                </c:pt>
                <c:pt idx="38">
                  <c:v>-0.48099999999999998</c:v>
                </c:pt>
                <c:pt idx="39">
                  <c:v>-0.51200000000000001</c:v>
                </c:pt>
                <c:pt idx="40">
                  <c:v>-0.505</c:v>
                </c:pt>
                <c:pt idx="41">
                  <c:v>-0.54300000000000004</c:v>
                </c:pt>
                <c:pt idx="42">
                  <c:v>-0.60699999999999998</c:v>
                </c:pt>
                <c:pt idx="43">
                  <c:v>-0.624</c:v>
                </c:pt>
                <c:pt idx="44">
                  <c:v>-0.625</c:v>
                </c:pt>
                <c:pt idx="45">
                  <c:v>-0.63800000000000001</c:v>
                </c:pt>
                <c:pt idx="46">
                  <c:v>-0.68600000000000005</c:v>
                </c:pt>
                <c:pt idx="47">
                  <c:v>-0.71</c:v>
                </c:pt>
                <c:pt idx="48">
                  <c:v>-0.85599999999999998</c:v>
                </c:pt>
                <c:pt idx="49">
                  <c:v>-0.79</c:v>
                </c:pt>
                <c:pt idx="50">
                  <c:v>-0.74199999999999999</c:v>
                </c:pt>
                <c:pt idx="51">
                  <c:v>-0.74099999999999999</c:v>
                </c:pt>
                <c:pt idx="52">
                  <c:v>-0.54400000000000004</c:v>
                </c:pt>
                <c:pt idx="53">
                  <c:v>-0.46100000000000002</c:v>
                </c:pt>
                <c:pt idx="54">
                  <c:v>-0.434</c:v>
                </c:pt>
                <c:pt idx="55">
                  <c:v>-0.23499999999999999</c:v>
                </c:pt>
                <c:pt idx="56">
                  <c:v>-0.193</c:v>
                </c:pt>
                <c:pt idx="57">
                  <c:v>-0.32100000000000001</c:v>
                </c:pt>
                <c:pt idx="58">
                  <c:v>-0.375</c:v>
                </c:pt>
                <c:pt idx="59">
                  <c:v>-0.32200000000000001</c:v>
                </c:pt>
                <c:pt idx="60">
                  <c:v>-0.26200000000000001</c:v>
                </c:pt>
                <c:pt idx="61">
                  <c:v>-0.36099999999999999</c:v>
                </c:pt>
                <c:pt idx="62">
                  <c:v>-0.47399999999999998</c:v>
                </c:pt>
                <c:pt idx="63">
                  <c:v>-0.49</c:v>
                </c:pt>
                <c:pt idx="64">
                  <c:v>-0.47099999999999997</c:v>
                </c:pt>
                <c:pt idx="65">
                  <c:v>-0.45800000000000002</c:v>
                </c:pt>
                <c:pt idx="66">
                  <c:v>-0.433</c:v>
                </c:pt>
                <c:pt idx="67">
                  <c:v>-0.441</c:v>
                </c:pt>
                <c:pt idx="68">
                  <c:v>-0.42499999999999999</c:v>
                </c:pt>
                <c:pt idx="69">
                  <c:v>-0.309</c:v>
                </c:pt>
                <c:pt idx="70">
                  <c:v>-0.30599999999999999</c:v>
                </c:pt>
                <c:pt idx="71">
                  <c:v>-0.34699999999999998</c:v>
                </c:pt>
                <c:pt idx="72">
                  <c:v>-0.34699999999999998</c:v>
                </c:pt>
                <c:pt idx="73">
                  <c:v>-0.34699999999999998</c:v>
                </c:pt>
                <c:pt idx="74">
                  <c:v>-0.377</c:v>
                </c:pt>
                <c:pt idx="75">
                  <c:v>-0.46500000000000002</c:v>
                </c:pt>
                <c:pt idx="76">
                  <c:v>-0.47399999999999998</c:v>
                </c:pt>
                <c:pt idx="77">
                  <c:v>-0.47199999999999998</c:v>
                </c:pt>
                <c:pt idx="78">
                  <c:v>-0.44800000000000001</c:v>
                </c:pt>
                <c:pt idx="79">
                  <c:v>-0.47699999999999998</c:v>
                </c:pt>
                <c:pt idx="80">
                  <c:v>-0.40699999999999997</c:v>
                </c:pt>
                <c:pt idx="81">
                  <c:v>-0.42399999999999999</c:v>
                </c:pt>
                <c:pt idx="82">
                  <c:v>-0.47299999999999998</c:v>
                </c:pt>
                <c:pt idx="83">
                  <c:v>-0.45300000000000001</c:v>
                </c:pt>
                <c:pt idx="84">
                  <c:v>-0.46899999999999997</c:v>
                </c:pt>
                <c:pt idx="85">
                  <c:v>-0.495</c:v>
                </c:pt>
                <c:pt idx="86">
                  <c:v>-0.58599999999999997</c:v>
                </c:pt>
                <c:pt idx="87">
                  <c:v>-0.58599999999999997</c:v>
                </c:pt>
                <c:pt idx="88">
                  <c:v>-0.56299999999999994</c:v>
                </c:pt>
                <c:pt idx="89">
                  <c:v>-0.57799999999999996</c:v>
                </c:pt>
                <c:pt idx="90">
                  <c:v>-0.50700000000000001</c:v>
                </c:pt>
                <c:pt idx="91">
                  <c:v>-0.54500000000000004</c:v>
                </c:pt>
                <c:pt idx="92">
                  <c:v>-0.53700000000000003</c:v>
                </c:pt>
                <c:pt idx="93">
                  <c:v>-0.51200000000000001</c:v>
                </c:pt>
                <c:pt idx="94">
                  <c:v>-0.505</c:v>
                </c:pt>
                <c:pt idx="95">
                  <c:v>-0.53</c:v>
                </c:pt>
                <c:pt idx="96">
                  <c:v>-0.54300000000000004</c:v>
                </c:pt>
                <c:pt idx="97">
                  <c:v>-0.53100000000000003</c:v>
                </c:pt>
                <c:pt idx="98">
                  <c:v>-0.46700000000000003</c:v>
                </c:pt>
                <c:pt idx="99">
                  <c:v>-0.46400000000000002</c:v>
                </c:pt>
                <c:pt idx="100">
                  <c:v>-0.46800000000000003</c:v>
                </c:pt>
                <c:pt idx="101">
                  <c:v>-0.495</c:v>
                </c:pt>
                <c:pt idx="102">
                  <c:v>-0.48699999999999999</c:v>
                </c:pt>
                <c:pt idx="103">
                  <c:v>-0.49399999999999999</c:v>
                </c:pt>
                <c:pt idx="104">
                  <c:v>-0.42899999999999999</c:v>
                </c:pt>
                <c:pt idx="105">
                  <c:v>-0.41399999999999998</c:v>
                </c:pt>
                <c:pt idx="106">
                  <c:v>-0.41899999999999998</c:v>
                </c:pt>
                <c:pt idx="107">
                  <c:v>-0.44700000000000001</c:v>
                </c:pt>
                <c:pt idx="108">
                  <c:v>-0.40200000000000002</c:v>
                </c:pt>
                <c:pt idx="109">
                  <c:v>-0.41499999999999998</c:v>
                </c:pt>
                <c:pt idx="110">
                  <c:v>-0.35399999999999998</c:v>
                </c:pt>
                <c:pt idx="111">
                  <c:v>-0.32</c:v>
                </c:pt>
                <c:pt idx="112">
                  <c:v>-0.27700000000000002</c:v>
                </c:pt>
                <c:pt idx="113">
                  <c:v>-0.31900000000000001</c:v>
                </c:pt>
                <c:pt idx="114">
                  <c:v>-0.309</c:v>
                </c:pt>
                <c:pt idx="115">
                  <c:v>-0.33100000000000002</c:v>
                </c:pt>
                <c:pt idx="116">
                  <c:v>-0.41399999999999998</c:v>
                </c:pt>
                <c:pt idx="117">
                  <c:v>-0.439</c:v>
                </c:pt>
                <c:pt idx="118">
                  <c:v>-0.44600000000000001</c:v>
                </c:pt>
                <c:pt idx="119">
                  <c:v>-0.42699999999999999</c:v>
                </c:pt>
                <c:pt idx="120">
                  <c:v>-0.39200000000000002</c:v>
                </c:pt>
                <c:pt idx="121">
                  <c:v>-0.40699999999999997</c:v>
                </c:pt>
                <c:pt idx="122">
                  <c:v>-0.41499999999999998</c:v>
                </c:pt>
                <c:pt idx="123">
                  <c:v>-0.439</c:v>
                </c:pt>
                <c:pt idx="124">
                  <c:v>-0.40799999999999997</c:v>
                </c:pt>
                <c:pt idx="125">
                  <c:v>-0.44</c:v>
                </c:pt>
                <c:pt idx="126">
                  <c:v>-0.46800000000000003</c:v>
                </c:pt>
                <c:pt idx="127">
                  <c:v>-0.48199999999999998</c:v>
                </c:pt>
                <c:pt idx="128">
                  <c:v>-0.47</c:v>
                </c:pt>
                <c:pt idx="129">
                  <c:v>-0.45400000000000001</c:v>
                </c:pt>
                <c:pt idx="130">
                  <c:v>-0.39500000000000002</c:v>
                </c:pt>
                <c:pt idx="131">
                  <c:v>-0.42799999999999999</c:v>
                </c:pt>
                <c:pt idx="132">
                  <c:v>-0.432</c:v>
                </c:pt>
                <c:pt idx="133">
                  <c:v>-0.43099999999999999</c:v>
                </c:pt>
                <c:pt idx="134">
                  <c:v>-0.42899999999999999</c:v>
                </c:pt>
                <c:pt idx="135">
                  <c:v>-0.44</c:v>
                </c:pt>
                <c:pt idx="136">
                  <c:v>-0.46300000000000002</c:v>
                </c:pt>
                <c:pt idx="137">
                  <c:v>-0.46500000000000002</c:v>
                </c:pt>
                <c:pt idx="138">
                  <c:v>-0.41699999999999998</c:v>
                </c:pt>
                <c:pt idx="139">
                  <c:v>-0.44700000000000001</c:v>
                </c:pt>
                <c:pt idx="140">
                  <c:v>-0.44400000000000001</c:v>
                </c:pt>
                <c:pt idx="141">
                  <c:v>-0.46500000000000002</c:v>
                </c:pt>
                <c:pt idx="142">
                  <c:v>-0.44700000000000001</c:v>
                </c:pt>
                <c:pt idx="143">
                  <c:v>-0.46</c:v>
                </c:pt>
                <c:pt idx="144">
                  <c:v>-0.46</c:v>
                </c:pt>
                <c:pt idx="145">
                  <c:v>-0.49</c:v>
                </c:pt>
                <c:pt idx="146">
                  <c:v>-0.48099999999999998</c:v>
                </c:pt>
                <c:pt idx="147">
                  <c:v>-0.44800000000000001</c:v>
                </c:pt>
                <c:pt idx="148">
                  <c:v>-0.49099999999999999</c:v>
                </c:pt>
                <c:pt idx="149">
                  <c:v>-0.50800000000000001</c:v>
                </c:pt>
                <c:pt idx="150">
                  <c:v>-0.498</c:v>
                </c:pt>
                <c:pt idx="151">
                  <c:v>-0.54200000000000004</c:v>
                </c:pt>
                <c:pt idx="152">
                  <c:v>-0.52400000000000002</c:v>
                </c:pt>
                <c:pt idx="153">
                  <c:v>-0.52300000000000002</c:v>
                </c:pt>
                <c:pt idx="154">
                  <c:v>-0.55300000000000005</c:v>
                </c:pt>
                <c:pt idx="155">
                  <c:v>-0.50600000000000001</c:v>
                </c:pt>
                <c:pt idx="156">
                  <c:v>-0.53100000000000003</c:v>
                </c:pt>
                <c:pt idx="157">
                  <c:v>-0.50900000000000001</c:v>
                </c:pt>
                <c:pt idx="158">
                  <c:v>-0.52600000000000002</c:v>
                </c:pt>
                <c:pt idx="159">
                  <c:v>-0.47799999999999998</c:v>
                </c:pt>
                <c:pt idx="160">
                  <c:v>-0.44700000000000001</c:v>
                </c:pt>
                <c:pt idx="161">
                  <c:v>-0.41199999999999998</c:v>
                </c:pt>
                <c:pt idx="162">
                  <c:v>-0.42099999999999999</c:v>
                </c:pt>
                <c:pt idx="163">
                  <c:v>-0.45100000000000001</c:v>
                </c:pt>
                <c:pt idx="164">
                  <c:v>-0.46300000000000002</c:v>
                </c:pt>
                <c:pt idx="165">
                  <c:v>-0.47199999999999998</c:v>
                </c:pt>
                <c:pt idx="166">
                  <c:v>-0.496</c:v>
                </c:pt>
                <c:pt idx="167">
                  <c:v>-0.50700000000000001</c:v>
                </c:pt>
                <c:pt idx="168">
                  <c:v>-0.49099999999999999</c:v>
                </c:pt>
                <c:pt idx="169">
                  <c:v>-0.43099999999999999</c:v>
                </c:pt>
                <c:pt idx="170">
                  <c:v>-0.41499999999999998</c:v>
                </c:pt>
                <c:pt idx="171">
                  <c:v>-0.40699999999999997</c:v>
                </c:pt>
                <c:pt idx="172">
                  <c:v>-0.40899999999999997</c:v>
                </c:pt>
                <c:pt idx="173">
                  <c:v>-0.39700000000000002</c:v>
                </c:pt>
                <c:pt idx="174">
                  <c:v>-0.42</c:v>
                </c:pt>
                <c:pt idx="175">
                  <c:v>-0.47299999999999998</c:v>
                </c:pt>
                <c:pt idx="176">
                  <c:v>-0.48799999999999999</c:v>
                </c:pt>
                <c:pt idx="177">
                  <c:v>-0.47199999999999998</c:v>
                </c:pt>
                <c:pt idx="178">
                  <c:v>-0.46300000000000002</c:v>
                </c:pt>
                <c:pt idx="179">
                  <c:v>-0.495</c:v>
                </c:pt>
                <c:pt idx="180">
                  <c:v>-0.46200000000000002</c:v>
                </c:pt>
                <c:pt idx="181">
                  <c:v>-0.433</c:v>
                </c:pt>
                <c:pt idx="182">
                  <c:v>-0.48099999999999998</c:v>
                </c:pt>
                <c:pt idx="183">
                  <c:v>-0.48</c:v>
                </c:pt>
                <c:pt idx="184">
                  <c:v>-0.47899999999999998</c:v>
                </c:pt>
                <c:pt idx="185">
                  <c:v>-0.48399999999999999</c:v>
                </c:pt>
                <c:pt idx="186">
                  <c:v>-0.49099999999999999</c:v>
                </c:pt>
                <c:pt idx="187">
                  <c:v>-0.48499999999999999</c:v>
                </c:pt>
                <c:pt idx="188">
                  <c:v>-0.53</c:v>
                </c:pt>
                <c:pt idx="189">
                  <c:v>-0.505</c:v>
                </c:pt>
                <c:pt idx="190">
                  <c:v>-0.505</c:v>
                </c:pt>
                <c:pt idx="191">
                  <c:v>-0.501</c:v>
                </c:pt>
                <c:pt idx="192">
                  <c:v>-0.52900000000000003</c:v>
                </c:pt>
                <c:pt idx="193">
                  <c:v>-0.52800000000000002</c:v>
                </c:pt>
                <c:pt idx="194">
                  <c:v>-0.54500000000000004</c:v>
                </c:pt>
                <c:pt idx="195">
                  <c:v>-0.52200000000000002</c:v>
                </c:pt>
                <c:pt idx="196">
                  <c:v>-0.53600000000000003</c:v>
                </c:pt>
                <c:pt idx="197">
                  <c:v>-0.53600000000000003</c:v>
                </c:pt>
                <c:pt idx="198">
                  <c:v>-0.51</c:v>
                </c:pt>
                <c:pt idx="199">
                  <c:v>-0.50700000000000001</c:v>
                </c:pt>
                <c:pt idx="200">
                  <c:v>-0.49299999999999999</c:v>
                </c:pt>
                <c:pt idx="201">
                  <c:v>-0.52300000000000002</c:v>
                </c:pt>
                <c:pt idx="202">
                  <c:v>-0.52700000000000002</c:v>
                </c:pt>
                <c:pt idx="203">
                  <c:v>-0.54500000000000004</c:v>
                </c:pt>
                <c:pt idx="204">
                  <c:v>-0.55600000000000005</c:v>
                </c:pt>
                <c:pt idx="205">
                  <c:v>-0.58099999999999996</c:v>
                </c:pt>
                <c:pt idx="206">
                  <c:v>-0.61</c:v>
                </c:pt>
                <c:pt idx="207">
                  <c:v>-0.622</c:v>
                </c:pt>
                <c:pt idx="208">
                  <c:v>-0.628</c:v>
                </c:pt>
                <c:pt idx="209">
                  <c:v>-0.60599999999999998</c:v>
                </c:pt>
                <c:pt idx="210">
                  <c:v>-0.58799999999999997</c:v>
                </c:pt>
                <c:pt idx="211">
                  <c:v>-0.56599999999999995</c:v>
                </c:pt>
                <c:pt idx="212">
                  <c:v>-0.57399999999999995</c:v>
                </c:pt>
                <c:pt idx="213">
                  <c:v>-0.57999999999999996</c:v>
                </c:pt>
                <c:pt idx="214">
                  <c:v>-0.61499999999999999</c:v>
                </c:pt>
                <c:pt idx="215">
                  <c:v>-0.625</c:v>
                </c:pt>
                <c:pt idx="216">
                  <c:v>-0.63600000000000001</c:v>
                </c:pt>
                <c:pt idx="217">
                  <c:v>-0.627</c:v>
                </c:pt>
                <c:pt idx="218">
                  <c:v>-0.64</c:v>
                </c:pt>
                <c:pt idx="219">
                  <c:v>-0.62</c:v>
                </c:pt>
                <c:pt idx="220">
                  <c:v>-0.63800000000000001</c:v>
                </c:pt>
                <c:pt idx="221">
                  <c:v>-0.63700000000000001</c:v>
                </c:pt>
                <c:pt idx="222">
                  <c:v>-0.621</c:v>
                </c:pt>
                <c:pt idx="223">
                  <c:v>-0.50900000000000001</c:v>
                </c:pt>
                <c:pt idx="224">
                  <c:v>-0.48499999999999999</c:v>
                </c:pt>
                <c:pt idx="225">
                  <c:v>-0.50700000000000001</c:v>
                </c:pt>
                <c:pt idx="226">
                  <c:v>-0.53600000000000003</c:v>
                </c:pt>
                <c:pt idx="227">
                  <c:v>-0.54700000000000004</c:v>
                </c:pt>
                <c:pt idx="228">
                  <c:v>-0.54500000000000004</c:v>
                </c:pt>
                <c:pt idx="229">
                  <c:v>-0.56299999999999994</c:v>
                </c:pt>
                <c:pt idx="230">
                  <c:v>-0.55400000000000005</c:v>
                </c:pt>
                <c:pt idx="231">
                  <c:v>-0.57099999999999995</c:v>
                </c:pt>
                <c:pt idx="232">
                  <c:v>-0.58299999999999996</c:v>
                </c:pt>
                <c:pt idx="233">
                  <c:v>-0.58099999999999996</c:v>
                </c:pt>
                <c:pt idx="234">
                  <c:v>-0.56299999999999994</c:v>
                </c:pt>
                <c:pt idx="235">
                  <c:v>-0.56799999999999995</c:v>
                </c:pt>
                <c:pt idx="236">
                  <c:v>-0.58799999999999997</c:v>
                </c:pt>
                <c:pt idx="237">
                  <c:v>-0.58799999999999997</c:v>
                </c:pt>
                <c:pt idx="238">
                  <c:v>-0.57099999999999995</c:v>
                </c:pt>
                <c:pt idx="239">
                  <c:v>-0.52800000000000002</c:v>
                </c:pt>
                <c:pt idx="240">
                  <c:v>-0.51900000000000002</c:v>
                </c:pt>
                <c:pt idx="241">
                  <c:v>-0.55600000000000005</c:v>
                </c:pt>
                <c:pt idx="242">
                  <c:v>-0.54700000000000004</c:v>
                </c:pt>
                <c:pt idx="243">
                  <c:v>-0.58199999999999996</c:v>
                </c:pt>
                <c:pt idx="244">
                  <c:v>-0.60699999999999998</c:v>
                </c:pt>
                <c:pt idx="245">
                  <c:v>-0.60499999999999998</c:v>
                </c:pt>
                <c:pt idx="246">
                  <c:v>-0.60299999999999998</c:v>
                </c:pt>
                <c:pt idx="247">
                  <c:v>-0.63600000000000001</c:v>
                </c:pt>
                <c:pt idx="248">
                  <c:v>-0.62</c:v>
                </c:pt>
                <c:pt idx="249">
                  <c:v>-0.61099999999999999</c:v>
                </c:pt>
                <c:pt idx="250">
                  <c:v>-0.56699999999999995</c:v>
                </c:pt>
                <c:pt idx="251">
                  <c:v>-0.56999999999999995</c:v>
                </c:pt>
                <c:pt idx="252">
                  <c:v>-0.57099999999999995</c:v>
                </c:pt>
                <c:pt idx="253">
                  <c:v>-0.57999999999999996</c:v>
                </c:pt>
                <c:pt idx="254">
                  <c:v>-0.59499999999999997</c:v>
                </c:pt>
                <c:pt idx="255">
                  <c:v>-0.54700000000000004</c:v>
                </c:pt>
                <c:pt idx="256">
                  <c:v>-0.54800000000000004</c:v>
                </c:pt>
                <c:pt idx="257">
                  <c:v>-0.54800000000000004</c:v>
                </c:pt>
                <c:pt idx="258">
                  <c:v>-0.56499999999999995</c:v>
                </c:pt>
                <c:pt idx="259">
                  <c:v>-0.57099999999999995</c:v>
                </c:pt>
                <c:pt idx="260">
                  <c:v>-0.56899999999999995</c:v>
                </c:pt>
                <c:pt idx="261">
                  <c:v>-0.56899999999999995</c:v>
                </c:pt>
              </c:numCache>
            </c:numRef>
          </c:val>
          <c:smooth val="0"/>
          <c:extLst>
            <c:ext xmlns:c16="http://schemas.microsoft.com/office/drawing/2014/chart" uri="{C3380CC4-5D6E-409C-BE32-E72D297353CC}">
              <c16:uniqueId val="{00000000-F508-47B1-8F53-04F136B7E64C}"/>
            </c:ext>
          </c:extLst>
        </c:ser>
        <c:ser>
          <c:idx val="1"/>
          <c:order val="1"/>
          <c:tx>
            <c:strRef>
              <c:f>'10 Year Bond Yield'!$C$1</c:f>
              <c:strCache>
                <c:ptCount val="1"/>
                <c:pt idx="0">
                  <c:v>Spain</c:v>
                </c:pt>
              </c:strCache>
            </c:strRef>
          </c:tx>
          <c:spPr>
            <a:ln w="28575" cap="rnd">
              <a:solidFill>
                <a:schemeClr val="accent2"/>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Yield'!$C$2350:$C$2611</c:f>
              <c:numCache>
                <c:formatCode>General</c:formatCode>
                <c:ptCount val="262"/>
                <c:pt idx="0">
                  <c:v>0.46800000000000003</c:v>
                </c:pt>
                <c:pt idx="1">
                  <c:v>0.44500000000000001</c:v>
                </c:pt>
                <c:pt idx="2">
                  <c:v>0.38600000000000001</c:v>
                </c:pt>
                <c:pt idx="3">
                  <c:v>0.39400000000000002</c:v>
                </c:pt>
                <c:pt idx="4">
                  <c:v>0.39700000000000002</c:v>
                </c:pt>
                <c:pt idx="5">
                  <c:v>0.433</c:v>
                </c:pt>
                <c:pt idx="6">
                  <c:v>0.45100000000000001</c:v>
                </c:pt>
                <c:pt idx="7">
                  <c:v>0.441</c:v>
                </c:pt>
                <c:pt idx="8">
                  <c:v>0.47899999999999998</c:v>
                </c:pt>
                <c:pt idx="9">
                  <c:v>0.47899999999999998</c:v>
                </c:pt>
                <c:pt idx="10">
                  <c:v>0.45400000000000001</c:v>
                </c:pt>
                <c:pt idx="11">
                  <c:v>0.46700000000000003</c:v>
                </c:pt>
                <c:pt idx="12">
                  <c:v>0.46300000000000002</c:v>
                </c:pt>
                <c:pt idx="13">
                  <c:v>0.44500000000000001</c:v>
                </c:pt>
                <c:pt idx="14">
                  <c:v>0.42299999999999999</c:v>
                </c:pt>
                <c:pt idx="15">
                  <c:v>0.41299999999999998</c:v>
                </c:pt>
                <c:pt idx="16">
                  <c:v>0.35799999999999998</c:v>
                </c:pt>
                <c:pt idx="17">
                  <c:v>0.34799999999999998</c:v>
                </c:pt>
                <c:pt idx="18">
                  <c:v>0.28100000000000003</c:v>
                </c:pt>
                <c:pt idx="19">
                  <c:v>0.315</c:v>
                </c:pt>
                <c:pt idx="20">
                  <c:v>0.3</c:v>
                </c:pt>
                <c:pt idx="21">
                  <c:v>0.27100000000000002</c:v>
                </c:pt>
                <c:pt idx="22">
                  <c:v>0.23499999999999999</c:v>
                </c:pt>
                <c:pt idx="23">
                  <c:v>0.24199999999999999</c:v>
                </c:pt>
                <c:pt idx="24">
                  <c:v>0.26900000000000002</c:v>
                </c:pt>
                <c:pt idx="25">
                  <c:v>0.3</c:v>
                </c:pt>
                <c:pt idx="26">
                  <c:v>0.29499999999999998</c:v>
                </c:pt>
                <c:pt idx="27">
                  <c:v>0.28299999999999997</c:v>
                </c:pt>
                <c:pt idx="28">
                  <c:v>0.25900000000000001</c:v>
                </c:pt>
                <c:pt idx="29">
                  <c:v>0.26800000000000002</c:v>
                </c:pt>
                <c:pt idx="30">
                  <c:v>0.31</c:v>
                </c:pt>
                <c:pt idx="31">
                  <c:v>0.29899999999999999</c:v>
                </c:pt>
                <c:pt idx="32">
                  <c:v>0.29399999999999998</c:v>
                </c:pt>
                <c:pt idx="33">
                  <c:v>0.28899999999999998</c:v>
                </c:pt>
                <c:pt idx="34">
                  <c:v>0.28799999999999998</c:v>
                </c:pt>
                <c:pt idx="35">
                  <c:v>0.27100000000000002</c:v>
                </c:pt>
                <c:pt idx="36">
                  <c:v>0.22600000000000001</c:v>
                </c:pt>
                <c:pt idx="37">
                  <c:v>0.22600000000000001</c:v>
                </c:pt>
                <c:pt idx="38">
                  <c:v>0.20899999999999999</c:v>
                </c:pt>
                <c:pt idx="39">
                  <c:v>0.21299999999999999</c:v>
                </c:pt>
                <c:pt idx="40">
                  <c:v>0.25</c:v>
                </c:pt>
                <c:pt idx="41">
                  <c:v>0.31</c:v>
                </c:pt>
                <c:pt idx="42">
                  <c:v>0.28199999999999997</c:v>
                </c:pt>
                <c:pt idx="43">
                  <c:v>0.28599999999999998</c:v>
                </c:pt>
                <c:pt idx="44">
                  <c:v>0.188</c:v>
                </c:pt>
                <c:pt idx="45">
                  <c:v>0.17599999999999999</c:v>
                </c:pt>
                <c:pt idx="46">
                  <c:v>0.21299999999999999</c:v>
                </c:pt>
                <c:pt idx="47">
                  <c:v>0.214</c:v>
                </c:pt>
                <c:pt idx="48">
                  <c:v>0.26400000000000001</c:v>
                </c:pt>
                <c:pt idx="49">
                  <c:v>0.34399999999999997</c:v>
                </c:pt>
                <c:pt idx="50">
                  <c:v>0.26200000000000001</c:v>
                </c:pt>
                <c:pt idx="51">
                  <c:v>0.51400000000000001</c:v>
                </c:pt>
                <c:pt idx="52">
                  <c:v>0.622</c:v>
                </c:pt>
                <c:pt idx="53">
                  <c:v>0.84099999999999997</c:v>
                </c:pt>
                <c:pt idx="54">
                  <c:v>1.0329999999999999</c:v>
                </c:pt>
                <c:pt idx="55">
                  <c:v>1.2210000000000001</c:v>
                </c:pt>
                <c:pt idx="56">
                  <c:v>0.879</c:v>
                </c:pt>
                <c:pt idx="57">
                  <c:v>0.73399999999999999</c:v>
                </c:pt>
                <c:pt idx="58">
                  <c:v>0.75900000000000001</c:v>
                </c:pt>
                <c:pt idx="59">
                  <c:v>0.88100000000000001</c:v>
                </c:pt>
                <c:pt idx="60">
                  <c:v>0.873</c:v>
                </c:pt>
                <c:pt idx="61">
                  <c:v>0.56899999999999995</c:v>
                </c:pt>
                <c:pt idx="62">
                  <c:v>0.54</c:v>
                </c:pt>
                <c:pt idx="63">
                  <c:v>0.60599999999999998</c:v>
                </c:pt>
                <c:pt idx="64">
                  <c:v>0.67700000000000005</c:v>
                </c:pt>
                <c:pt idx="65">
                  <c:v>0.70299999999999996</c:v>
                </c:pt>
                <c:pt idx="66">
                  <c:v>0.70799999999999996</c:v>
                </c:pt>
                <c:pt idx="67">
                  <c:v>0.74199999999999999</c:v>
                </c:pt>
                <c:pt idx="68">
                  <c:v>0.72299999999999998</c:v>
                </c:pt>
                <c:pt idx="69">
                  <c:v>0.81799999999999995</c:v>
                </c:pt>
                <c:pt idx="70">
                  <c:v>0.84099999999999997</c:v>
                </c:pt>
                <c:pt idx="71">
                  <c:v>0.78200000000000003</c:v>
                </c:pt>
                <c:pt idx="72">
                  <c:v>0.78200000000000003</c:v>
                </c:pt>
                <c:pt idx="73">
                  <c:v>0.78200000000000003</c:v>
                </c:pt>
                <c:pt idx="74">
                  <c:v>0.84299999999999997</c:v>
                </c:pt>
                <c:pt idx="75">
                  <c:v>0.86299999999999999</c:v>
                </c:pt>
                <c:pt idx="76">
                  <c:v>0.83</c:v>
                </c:pt>
                <c:pt idx="77">
                  <c:v>0.81599999999999995</c:v>
                </c:pt>
                <c:pt idx="78">
                  <c:v>0.89100000000000001</c:v>
                </c:pt>
                <c:pt idx="79">
                  <c:v>1.004</c:v>
                </c:pt>
                <c:pt idx="80">
                  <c:v>1.137</c:v>
                </c:pt>
                <c:pt idx="81">
                  <c:v>1.0489999999999999</c:v>
                </c:pt>
                <c:pt idx="82">
                  <c:v>0.95199999999999996</c:v>
                </c:pt>
                <c:pt idx="83">
                  <c:v>0.88900000000000001</c:v>
                </c:pt>
                <c:pt idx="84">
                  <c:v>0.84199999999999997</c:v>
                </c:pt>
                <c:pt idx="85">
                  <c:v>0.79900000000000004</c:v>
                </c:pt>
                <c:pt idx="86">
                  <c:v>0.72299999999999998</c:v>
                </c:pt>
                <c:pt idx="87">
                  <c:v>0.72299999999999998</c:v>
                </c:pt>
                <c:pt idx="88">
                  <c:v>0.75900000000000001</c:v>
                </c:pt>
                <c:pt idx="89">
                  <c:v>0.78100000000000003</c:v>
                </c:pt>
                <c:pt idx="90">
                  <c:v>0.85299999999999998</c:v>
                </c:pt>
                <c:pt idx="91">
                  <c:v>0.82099999999999995</c:v>
                </c:pt>
                <c:pt idx="92">
                  <c:v>0.79600000000000004</c:v>
                </c:pt>
                <c:pt idx="93">
                  <c:v>0.81399999999999995</c:v>
                </c:pt>
                <c:pt idx="94">
                  <c:v>0.78800000000000003</c:v>
                </c:pt>
                <c:pt idx="95">
                  <c:v>0.73499999999999999</c:v>
                </c:pt>
                <c:pt idx="96">
                  <c:v>0.747</c:v>
                </c:pt>
                <c:pt idx="97">
                  <c:v>0.76</c:v>
                </c:pt>
                <c:pt idx="98">
                  <c:v>0.73299999999999998</c:v>
                </c:pt>
                <c:pt idx="99">
                  <c:v>0.64200000000000002</c:v>
                </c:pt>
                <c:pt idx="100">
                  <c:v>0.64</c:v>
                </c:pt>
                <c:pt idx="101">
                  <c:v>0.63300000000000001</c:v>
                </c:pt>
                <c:pt idx="102">
                  <c:v>0.626</c:v>
                </c:pt>
                <c:pt idx="103">
                  <c:v>0.61199999999999999</c:v>
                </c:pt>
                <c:pt idx="104">
                  <c:v>0.626</c:v>
                </c:pt>
                <c:pt idx="105">
                  <c:v>0.64600000000000002</c:v>
                </c:pt>
                <c:pt idx="106">
                  <c:v>0.57999999999999996</c:v>
                </c:pt>
                <c:pt idx="107">
                  <c:v>0.56200000000000006</c:v>
                </c:pt>
                <c:pt idx="108">
                  <c:v>0.57699999999999996</c:v>
                </c:pt>
                <c:pt idx="109">
                  <c:v>0.55800000000000005</c:v>
                </c:pt>
                <c:pt idx="110">
                  <c:v>0.61</c:v>
                </c:pt>
                <c:pt idx="111">
                  <c:v>0.55600000000000005</c:v>
                </c:pt>
                <c:pt idx="112">
                  <c:v>0.55800000000000005</c:v>
                </c:pt>
                <c:pt idx="113">
                  <c:v>0.54800000000000004</c:v>
                </c:pt>
                <c:pt idx="114">
                  <c:v>0.63700000000000001</c:v>
                </c:pt>
                <c:pt idx="115">
                  <c:v>0.67700000000000005</c:v>
                </c:pt>
                <c:pt idx="116">
                  <c:v>0.628</c:v>
                </c:pt>
                <c:pt idx="117">
                  <c:v>0.59399999999999997</c:v>
                </c:pt>
                <c:pt idx="118">
                  <c:v>0.56100000000000005</c:v>
                </c:pt>
                <c:pt idx="119">
                  <c:v>0.53300000000000003</c:v>
                </c:pt>
                <c:pt idx="120">
                  <c:v>0.55900000000000005</c:v>
                </c:pt>
                <c:pt idx="121">
                  <c:v>0.51600000000000001</c:v>
                </c:pt>
                <c:pt idx="122">
                  <c:v>0.49299999999999999</c:v>
                </c:pt>
                <c:pt idx="123">
                  <c:v>0.46100000000000002</c:v>
                </c:pt>
                <c:pt idx="124">
                  <c:v>0.47599999999999998</c:v>
                </c:pt>
                <c:pt idx="125">
                  <c:v>0.46899999999999997</c:v>
                </c:pt>
                <c:pt idx="126">
                  <c:v>0.45800000000000002</c:v>
                </c:pt>
                <c:pt idx="127">
                  <c:v>0.45800000000000002</c:v>
                </c:pt>
                <c:pt idx="128">
                  <c:v>0.47</c:v>
                </c:pt>
                <c:pt idx="129">
                  <c:v>0.46700000000000003</c:v>
                </c:pt>
                <c:pt idx="130">
                  <c:v>0.502</c:v>
                </c:pt>
                <c:pt idx="131">
                  <c:v>0.45200000000000001</c:v>
                </c:pt>
                <c:pt idx="132">
                  <c:v>0.44600000000000001</c:v>
                </c:pt>
                <c:pt idx="133">
                  <c:v>0.42499999999999999</c:v>
                </c:pt>
                <c:pt idx="134">
                  <c:v>0.42499999999999999</c:v>
                </c:pt>
                <c:pt idx="135">
                  <c:v>0.41</c:v>
                </c:pt>
                <c:pt idx="136">
                  <c:v>0.40799999999999997</c:v>
                </c:pt>
                <c:pt idx="137">
                  <c:v>0.41299999999999998</c:v>
                </c:pt>
                <c:pt idx="138">
                  <c:v>0.44400000000000001</c:v>
                </c:pt>
                <c:pt idx="139">
                  <c:v>0.40799999999999997</c:v>
                </c:pt>
                <c:pt idx="140">
                  <c:v>0.42199999999999999</c:v>
                </c:pt>
                <c:pt idx="141">
                  <c:v>0.40100000000000002</c:v>
                </c:pt>
                <c:pt idx="142">
                  <c:v>0.41</c:v>
                </c:pt>
                <c:pt idx="143">
                  <c:v>0.35599999999999998</c:v>
                </c:pt>
                <c:pt idx="144">
                  <c:v>0.35599999999999998</c:v>
                </c:pt>
                <c:pt idx="145">
                  <c:v>0.33400000000000002</c:v>
                </c:pt>
                <c:pt idx="146">
                  <c:v>0.32300000000000001</c:v>
                </c:pt>
                <c:pt idx="147">
                  <c:v>0.35199999999999998</c:v>
                </c:pt>
                <c:pt idx="148">
                  <c:v>0.34</c:v>
                </c:pt>
                <c:pt idx="149">
                  <c:v>0.35599999999999998</c:v>
                </c:pt>
                <c:pt idx="150">
                  <c:v>0.34799999999999998</c:v>
                </c:pt>
                <c:pt idx="151">
                  <c:v>0.317</c:v>
                </c:pt>
                <c:pt idx="152">
                  <c:v>0.34</c:v>
                </c:pt>
                <c:pt idx="153">
                  <c:v>0.33600000000000002</c:v>
                </c:pt>
                <c:pt idx="154">
                  <c:v>0.28299999999999997</c:v>
                </c:pt>
                <c:pt idx="155">
                  <c:v>0.309</c:v>
                </c:pt>
                <c:pt idx="156">
                  <c:v>0.27900000000000003</c:v>
                </c:pt>
                <c:pt idx="157">
                  <c:v>0.27800000000000002</c:v>
                </c:pt>
                <c:pt idx="158">
                  <c:v>0.255</c:v>
                </c:pt>
                <c:pt idx="159">
                  <c:v>0.27900000000000003</c:v>
                </c:pt>
                <c:pt idx="160">
                  <c:v>0.30299999999999999</c:v>
                </c:pt>
                <c:pt idx="161">
                  <c:v>0.37</c:v>
                </c:pt>
                <c:pt idx="162">
                  <c:v>0.35699999999999998</c:v>
                </c:pt>
                <c:pt idx="163">
                  <c:v>0.32600000000000001</c:v>
                </c:pt>
                <c:pt idx="164">
                  <c:v>0.31</c:v>
                </c:pt>
                <c:pt idx="165">
                  <c:v>0.29199999999999998</c:v>
                </c:pt>
                <c:pt idx="166">
                  <c:v>0.29099999999999998</c:v>
                </c:pt>
                <c:pt idx="167">
                  <c:v>0.29799999999999999</c:v>
                </c:pt>
                <c:pt idx="168">
                  <c:v>0.32700000000000001</c:v>
                </c:pt>
                <c:pt idx="169">
                  <c:v>0.38200000000000001</c:v>
                </c:pt>
                <c:pt idx="170">
                  <c:v>0.376</c:v>
                </c:pt>
                <c:pt idx="171">
                  <c:v>0.38900000000000001</c:v>
                </c:pt>
                <c:pt idx="172">
                  <c:v>0.379</c:v>
                </c:pt>
                <c:pt idx="173">
                  <c:v>0.40899999999999997</c:v>
                </c:pt>
                <c:pt idx="174">
                  <c:v>0.39800000000000002</c:v>
                </c:pt>
                <c:pt idx="175">
                  <c:v>0.33100000000000002</c:v>
                </c:pt>
                <c:pt idx="176">
                  <c:v>0.32600000000000001</c:v>
                </c:pt>
                <c:pt idx="177">
                  <c:v>0.35199999999999998</c:v>
                </c:pt>
                <c:pt idx="178">
                  <c:v>0.35199999999999998</c:v>
                </c:pt>
                <c:pt idx="179">
                  <c:v>0.32600000000000001</c:v>
                </c:pt>
                <c:pt idx="180">
                  <c:v>0.33900000000000002</c:v>
                </c:pt>
                <c:pt idx="181">
                  <c:v>0.35</c:v>
                </c:pt>
                <c:pt idx="182">
                  <c:v>0.309</c:v>
                </c:pt>
                <c:pt idx="183">
                  <c:v>0.28299999999999997</c:v>
                </c:pt>
                <c:pt idx="184">
                  <c:v>0.27100000000000002</c:v>
                </c:pt>
                <c:pt idx="185">
                  <c:v>0.26100000000000001</c:v>
                </c:pt>
                <c:pt idx="186">
                  <c:v>0.26400000000000001</c:v>
                </c:pt>
                <c:pt idx="187">
                  <c:v>0.28499999999999998</c:v>
                </c:pt>
                <c:pt idx="188">
                  <c:v>0.253</c:v>
                </c:pt>
                <c:pt idx="189">
                  <c:v>0.23499999999999999</c:v>
                </c:pt>
                <c:pt idx="190">
                  <c:v>0.22500000000000001</c:v>
                </c:pt>
                <c:pt idx="191">
                  <c:v>0.251</c:v>
                </c:pt>
                <c:pt idx="192">
                  <c:v>0.248</c:v>
                </c:pt>
                <c:pt idx="193">
                  <c:v>0.246</c:v>
                </c:pt>
                <c:pt idx="194">
                  <c:v>0.22500000000000001</c:v>
                </c:pt>
                <c:pt idx="195">
                  <c:v>0.248</c:v>
                </c:pt>
                <c:pt idx="196">
                  <c:v>0.23200000000000001</c:v>
                </c:pt>
                <c:pt idx="197">
                  <c:v>0.221</c:v>
                </c:pt>
                <c:pt idx="198">
                  <c:v>0.26100000000000001</c:v>
                </c:pt>
                <c:pt idx="199">
                  <c:v>0.23599999999999999</c:v>
                </c:pt>
                <c:pt idx="200">
                  <c:v>0.24199999999999999</c:v>
                </c:pt>
                <c:pt idx="201">
                  <c:v>0.20100000000000001</c:v>
                </c:pt>
                <c:pt idx="202">
                  <c:v>0.17599999999999999</c:v>
                </c:pt>
                <c:pt idx="203">
                  <c:v>0.14499999999999999</c:v>
                </c:pt>
                <c:pt idx="204">
                  <c:v>0.14399999999999999</c:v>
                </c:pt>
                <c:pt idx="205">
                  <c:v>0.13500000000000001</c:v>
                </c:pt>
                <c:pt idx="206">
                  <c:v>0.14899999999999999</c:v>
                </c:pt>
                <c:pt idx="207">
                  <c:v>0.124</c:v>
                </c:pt>
                <c:pt idx="208">
                  <c:v>0.159</c:v>
                </c:pt>
                <c:pt idx="209">
                  <c:v>0.183</c:v>
                </c:pt>
                <c:pt idx="210">
                  <c:v>0.20399999999999999</c:v>
                </c:pt>
                <c:pt idx="211">
                  <c:v>0.223</c:v>
                </c:pt>
                <c:pt idx="212">
                  <c:v>0.19500000000000001</c:v>
                </c:pt>
                <c:pt idx="213">
                  <c:v>0.186</c:v>
                </c:pt>
                <c:pt idx="214">
                  <c:v>0.158</c:v>
                </c:pt>
                <c:pt idx="215">
                  <c:v>0.17799999999999999</c:v>
                </c:pt>
                <c:pt idx="216">
                  <c:v>0.13300000000000001</c:v>
                </c:pt>
                <c:pt idx="217">
                  <c:v>0.13500000000000001</c:v>
                </c:pt>
                <c:pt idx="218">
                  <c:v>0.121</c:v>
                </c:pt>
                <c:pt idx="219">
                  <c:v>0.11</c:v>
                </c:pt>
                <c:pt idx="220">
                  <c:v>9.1999999999999998E-2</c:v>
                </c:pt>
                <c:pt idx="221">
                  <c:v>9.0999999999999998E-2</c:v>
                </c:pt>
                <c:pt idx="222">
                  <c:v>9.7000000000000003E-2</c:v>
                </c:pt>
                <c:pt idx="223">
                  <c:v>0.186</c:v>
                </c:pt>
                <c:pt idx="224">
                  <c:v>0.186</c:v>
                </c:pt>
                <c:pt idx="225">
                  <c:v>0.157</c:v>
                </c:pt>
                <c:pt idx="226">
                  <c:v>0.13200000000000001</c:v>
                </c:pt>
                <c:pt idx="227">
                  <c:v>0.111</c:v>
                </c:pt>
                <c:pt idx="228">
                  <c:v>9.9000000000000005E-2</c:v>
                </c:pt>
                <c:pt idx="229">
                  <c:v>7.4999999999999997E-2</c:v>
                </c:pt>
                <c:pt idx="230">
                  <c:v>8.1000000000000003E-2</c:v>
                </c:pt>
                <c:pt idx="231">
                  <c:v>7.0000000000000007E-2</c:v>
                </c:pt>
                <c:pt idx="232">
                  <c:v>6.5000000000000002E-2</c:v>
                </c:pt>
                <c:pt idx="233">
                  <c:v>7.0999999999999994E-2</c:v>
                </c:pt>
                <c:pt idx="234">
                  <c:v>7.3999999999999996E-2</c:v>
                </c:pt>
                <c:pt idx="235">
                  <c:v>6.9000000000000006E-2</c:v>
                </c:pt>
                <c:pt idx="236">
                  <c:v>5.0999999999999997E-2</c:v>
                </c:pt>
                <c:pt idx="237">
                  <c:v>5.8000000000000003E-2</c:v>
                </c:pt>
                <c:pt idx="238">
                  <c:v>8.1000000000000003E-2</c:v>
                </c:pt>
                <c:pt idx="239">
                  <c:v>0.11899999999999999</c:v>
                </c:pt>
                <c:pt idx="240">
                  <c:v>0.10299999999999999</c:v>
                </c:pt>
                <c:pt idx="241">
                  <c:v>7.0999999999999994E-2</c:v>
                </c:pt>
                <c:pt idx="242">
                  <c:v>8.1000000000000003E-2</c:v>
                </c:pt>
                <c:pt idx="243">
                  <c:v>5.1999999999999998E-2</c:v>
                </c:pt>
                <c:pt idx="244">
                  <c:v>2.9000000000000001E-2</c:v>
                </c:pt>
                <c:pt idx="245">
                  <c:v>2.1000000000000001E-2</c:v>
                </c:pt>
                <c:pt idx="246">
                  <c:v>2.1999999999999999E-2</c:v>
                </c:pt>
                <c:pt idx="247">
                  <c:v>2E-3</c:v>
                </c:pt>
                <c:pt idx="248">
                  <c:v>3.0000000000000001E-3</c:v>
                </c:pt>
                <c:pt idx="249">
                  <c:v>-1.7000000000000001E-2</c:v>
                </c:pt>
                <c:pt idx="250">
                  <c:v>2.3E-2</c:v>
                </c:pt>
                <c:pt idx="251">
                  <c:v>2.9000000000000001E-2</c:v>
                </c:pt>
                <c:pt idx="252">
                  <c:v>4.4999999999999998E-2</c:v>
                </c:pt>
                <c:pt idx="253">
                  <c:v>5.6000000000000001E-2</c:v>
                </c:pt>
                <c:pt idx="254">
                  <c:v>0.05</c:v>
                </c:pt>
                <c:pt idx="255">
                  <c:v>7.3999999999999996E-2</c:v>
                </c:pt>
                <c:pt idx="256">
                  <c:v>7.2999999999999995E-2</c:v>
                </c:pt>
                <c:pt idx="257">
                  <c:v>7.2999999999999995E-2</c:v>
                </c:pt>
                <c:pt idx="258">
                  <c:v>0.05</c:v>
                </c:pt>
                <c:pt idx="259">
                  <c:v>0.05</c:v>
                </c:pt>
                <c:pt idx="260">
                  <c:v>4.7E-2</c:v>
                </c:pt>
                <c:pt idx="261">
                  <c:v>4.7E-2</c:v>
                </c:pt>
              </c:numCache>
            </c:numRef>
          </c:val>
          <c:smooth val="0"/>
          <c:extLst>
            <c:ext xmlns:c16="http://schemas.microsoft.com/office/drawing/2014/chart" uri="{C3380CC4-5D6E-409C-BE32-E72D297353CC}">
              <c16:uniqueId val="{00000001-F508-47B1-8F53-04F136B7E64C}"/>
            </c:ext>
          </c:extLst>
        </c:ser>
        <c:ser>
          <c:idx val="2"/>
          <c:order val="2"/>
          <c:tx>
            <c:strRef>
              <c:f>'10 Year Bond Yield'!$D$1</c:f>
              <c:strCache>
                <c:ptCount val="1"/>
                <c:pt idx="0">
                  <c:v>US</c:v>
                </c:pt>
              </c:strCache>
            </c:strRef>
          </c:tx>
          <c:spPr>
            <a:ln w="28575" cap="rnd">
              <a:solidFill>
                <a:schemeClr val="accent3"/>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Yield'!$D$2350:$D$2611</c:f>
              <c:numCache>
                <c:formatCode>General</c:formatCode>
                <c:ptCount val="262"/>
                <c:pt idx="0">
                  <c:v>1.9175</c:v>
                </c:pt>
                <c:pt idx="1">
                  <c:v>1.8771</c:v>
                </c:pt>
                <c:pt idx="2">
                  <c:v>1.7881</c:v>
                </c:pt>
                <c:pt idx="3">
                  <c:v>1.8090000000000002</c:v>
                </c:pt>
                <c:pt idx="4">
                  <c:v>1.8176999999999999</c:v>
                </c:pt>
                <c:pt idx="5">
                  <c:v>1.8738000000000001</c:v>
                </c:pt>
                <c:pt idx="6">
                  <c:v>1.8545</c:v>
                </c:pt>
                <c:pt idx="7">
                  <c:v>1.8195999999999999</c:v>
                </c:pt>
                <c:pt idx="8">
                  <c:v>1.8458999999999999</c:v>
                </c:pt>
                <c:pt idx="9">
                  <c:v>1.8109</c:v>
                </c:pt>
                <c:pt idx="10">
                  <c:v>1.7829999999999999</c:v>
                </c:pt>
                <c:pt idx="11">
                  <c:v>1.8073999999999999</c:v>
                </c:pt>
                <c:pt idx="12">
                  <c:v>1.8214999999999999</c:v>
                </c:pt>
                <c:pt idx="13">
                  <c:v>1.8214999999999999</c:v>
                </c:pt>
                <c:pt idx="14">
                  <c:v>1.7743</c:v>
                </c:pt>
                <c:pt idx="15">
                  <c:v>1.7690999999999999</c:v>
                </c:pt>
                <c:pt idx="16">
                  <c:v>1.7324999999999999</c:v>
                </c:pt>
                <c:pt idx="17">
                  <c:v>1.6839</c:v>
                </c:pt>
                <c:pt idx="18">
                  <c:v>1.6080000000000001</c:v>
                </c:pt>
                <c:pt idx="19">
                  <c:v>1.6562000000000001</c:v>
                </c:pt>
                <c:pt idx="20">
                  <c:v>1.5838999999999999</c:v>
                </c:pt>
                <c:pt idx="21">
                  <c:v>1.5855999999999999</c:v>
                </c:pt>
                <c:pt idx="22">
                  <c:v>1.5068000000000001</c:v>
                </c:pt>
                <c:pt idx="23" formatCode="0.00">
                  <c:v>1.5272000000000001</c:v>
                </c:pt>
                <c:pt idx="24">
                  <c:v>1.5991</c:v>
                </c:pt>
                <c:pt idx="25">
                  <c:v>1.6508</c:v>
                </c:pt>
                <c:pt idx="26">
                  <c:v>1.6421999999999999</c:v>
                </c:pt>
                <c:pt idx="27">
                  <c:v>1.5834000000000001</c:v>
                </c:pt>
                <c:pt idx="28">
                  <c:v>1.5695999999999999</c:v>
                </c:pt>
                <c:pt idx="29">
                  <c:v>1.6006</c:v>
                </c:pt>
                <c:pt idx="30">
                  <c:v>1.6333</c:v>
                </c:pt>
                <c:pt idx="31">
                  <c:v>1.6173</c:v>
                </c:pt>
                <c:pt idx="32">
                  <c:v>1.5848</c:v>
                </c:pt>
                <c:pt idx="33">
                  <c:v>1.5848</c:v>
                </c:pt>
                <c:pt idx="34">
                  <c:v>1.5609999999999999</c:v>
                </c:pt>
                <c:pt idx="35">
                  <c:v>1.5661</c:v>
                </c:pt>
                <c:pt idx="36">
                  <c:v>1.5152000000000001</c:v>
                </c:pt>
                <c:pt idx="37">
                  <c:v>1.4713000000000001</c:v>
                </c:pt>
                <c:pt idx="38">
                  <c:v>1.3705000000000001</c:v>
                </c:pt>
                <c:pt idx="39">
                  <c:v>1.3521000000000001</c:v>
                </c:pt>
                <c:pt idx="40">
                  <c:v>1.3371</c:v>
                </c:pt>
                <c:pt idx="41">
                  <c:v>1.2606999999999999</c:v>
                </c:pt>
                <c:pt idx="42">
                  <c:v>1.1486000000000001</c:v>
                </c:pt>
                <c:pt idx="43">
                  <c:v>1.1632</c:v>
                </c:pt>
                <c:pt idx="44">
                  <c:v>0.999</c:v>
                </c:pt>
                <c:pt idx="45">
                  <c:v>1.0522</c:v>
                </c:pt>
                <c:pt idx="46">
                  <c:v>0.91200000000000003</c:v>
                </c:pt>
                <c:pt idx="47">
                  <c:v>0.76229999999999998</c:v>
                </c:pt>
                <c:pt idx="48">
                  <c:v>0.54069999999999996</c:v>
                </c:pt>
                <c:pt idx="49">
                  <c:v>0.80300000000000005</c:v>
                </c:pt>
                <c:pt idx="50">
                  <c:v>0.86950000000000005</c:v>
                </c:pt>
                <c:pt idx="51">
                  <c:v>0.80420000000000003</c:v>
                </c:pt>
                <c:pt idx="52">
                  <c:v>0.96030000000000004</c:v>
                </c:pt>
                <c:pt idx="53">
                  <c:v>0.71819999999999995</c:v>
                </c:pt>
                <c:pt idx="54">
                  <c:v>1.0784</c:v>
                </c:pt>
                <c:pt idx="55">
                  <c:v>1.1915</c:v>
                </c:pt>
                <c:pt idx="56">
                  <c:v>1.1404000000000001</c:v>
                </c:pt>
                <c:pt idx="57">
                  <c:v>0.84540000000000004</c:v>
                </c:pt>
                <c:pt idx="58">
                  <c:v>0.7863</c:v>
                </c:pt>
                <c:pt idx="59">
                  <c:v>0.84660000000000002</c:v>
                </c:pt>
                <c:pt idx="60">
                  <c:v>0.86729999999999996</c:v>
                </c:pt>
                <c:pt idx="61">
                  <c:v>0.84470000000000001</c:v>
                </c:pt>
                <c:pt idx="62">
                  <c:v>0.67459999999999998</c:v>
                </c:pt>
                <c:pt idx="63">
                  <c:v>0.72640000000000005</c:v>
                </c:pt>
                <c:pt idx="64">
                  <c:v>0.66949999999999998</c:v>
                </c:pt>
                <c:pt idx="65">
                  <c:v>0.58320000000000005</c:v>
                </c:pt>
                <c:pt idx="66">
                  <c:v>0.59699999999999998</c:v>
                </c:pt>
                <c:pt idx="67">
                  <c:v>0.5948</c:v>
                </c:pt>
                <c:pt idx="68">
                  <c:v>0.66979999999999995</c:v>
                </c:pt>
                <c:pt idx="69">
                  <c:v>0.71220000000000006</c:v>
                </c:pt>
                <c:pt idx="70">
                  <c:v>0.7722</c:v>
                </c:pt>
                <c:pt idx="71">
                  <c:v>0.71909999999999996</c:v>
                </c:pt>
                <c:pt idx="72">
                  <c:v>0.71909999999999996</c:v>
                </c:pt>
                <c:pt idx="73">
                  <c:v>0.77129999999999999</c:v>
                </c:pt>
                <c:pt idx="74">
                  <c:v>0.752</c:v>
                </c:pt>
                <c:pt idx="75">
                  <c:v>0.63160000000000005</c:v>
                </c:pt>
                <c:pt idx="76">
                  <c:v>0.62670000000000003</c:v>
                </c:pt>
                <c:pt idx="77">
                  <c:v>0.64170000000000005</c:v>
                </c:pt>
                <c:pt idx="78">
                  <c:v>0.60529999999999995</c:v>
                </c:pt>
                <c:pt idx="79">
                  <c:v>0.56910000000000005</c:v>
                </c:pt>
                <c:pt idx="80">
                  <c:v>0.61899999999999999</c:v>
                </c:pt>
                <c:pt idx="81">
                  <c:v>0.60150000000000003</c:v>
                </c:pt>
                <c:pt idx="82">
                  <c:v>0.6008</c:v>
                </c:pt>
                <c:pt idx="83">
                  <c:v>0.66049999999999998</c:v>
                </c:pt>
                <c:pt idx="84">
                  <c:v>0.6129</c:v>
                </c:pt>
                <c:pt idx="85">
                  <c:v>0.62690000000000001</c:v>
                </c:pt>
                <c:pt idx="86">
                  <c:v>0.63929999999999998</c:v>
                </c:pt>
                <c:pt idx="87">
                  <c:v>0.61180000000000001</c:v>
                </c:pt>
                <c:pt idx="88">
                  <c:v>0.63360000000000005</c:v>
                </c:pt>
                <c:pt idx="89">
                  <c:v>0.66190000000000004</c:v>
                </c:pt>
                <c:pt idx="90">
                  <c:v>0.70299999999999996</c:v>
                </c:pt>
                <c:pt idx="91">
                  <c:v>0.64090000000000003</c:v>
                </c:pt>
                <c:pt idx="92">
                  <c:v>0.68310000000000004</c:v>
                </c:pt>
                <c:pt idx="93">
                  <c:v>0.70989999999999998</c:v>
                </c:pt>
                <c:pt idx="94">
                  <c:v>0.66510000000000002</c:v>
                </c:pt>
                <c:pt idx="95">
                  <c:v>0.65249999999999997</c:v>
                </c:pt>
                <c:pt idx="96">
                  <c:v>0.62180000000000002</c:v>
                </c:pt>
                <c:pt idx="97">
                  <c:v>0.64280000000000004</c:v>
                </c:pt>
                <c:pt idx="98">
                  <c:v>0.72570000000000001</c:v>
                </c:pt>
                <c:pt idx="99">
                  <c:v>0.68820000000000003</c:v>
                </c:pt>
                <c:pt idx="100">
                  <c:v>0.68010000000000004</c:v>
                </c:pt>
                <c:pt idx="101">
                  <c:v>0.67200000000000004</c:v>
                </c:pt>
                <c:pt idx="102">
                  <c:v>0.65910000000000002</c:v>
                </c:pt>
                <c:pt idx="103">
                  <c:v>0.65910000000000002</c:v>
                </c:pt>
                <c:pt idx="104">
                  <c:v>0.69650000000000001</c:v>
                </c:pt>
                <c:pt idx="105">
                  <c:v>0.68189999999999995</c:v>
                </c:pt>
                <c:pt idx="106">
                  <c:v>0.69</c:v>
                </c:pt>
                <c:pt idx="107">
                  <c:v>0.65259999999999996</c:v>
                </c:pt>
                <c:pt idx="108">
                  <c:v>0.65910000000000002</c:v>
                </c:pt>
                <c:pt idx="109">
                  <c:v>0.68520000000000003</c:v>
                </c:pt>
                <c:pt idx="110">
                  <c:v>0.74580000000000002</c:v>
                </c:pt>
                <c:pt idx="111">
                  <c:v>0.82340000000000002</c:v>
                </c:pt>
                <c:pt idx="112">
                  <c:v>0.89510000000000001</c:v>
                </c:pt>
                <c:pt idx="113">
                  <c:v>0.87519999999999998</c:v>
                </c:pt>
                <c:pt idx="114">
                  <c:v>0.82530000000000003</c:v>
                </c:pt>
                <c:pt idx="115">
                  <c:v>0.72629999999999995</c:v>
                </c:pt>
                <c:pt idx="116">
                  <c:v>0.66900000000000004</c:v>
                </c:pt>
                <c:pt idx="117">
                  <c:v>0.70340000000000003</c:v>
                </c:pt>
                <c:pt idx="118">
                  <c:v>0.72150000000000003</c:v>
                </c:pt>
                <c:pt idx="119">
                  <c:v>0.75280000000000002</c:v>
                </c:pt>
                <c:pt idx="120">
                  <c:v>0.73799999999999999</c:v>
                </c:pt>
                <c:pt idx="121">
                  <c:v>0.70840000000000003</c:v>
                </c:pt>
                <c:pt idx="122">
                  <c:v>0.69369999999999998</c:v>
                </c:pt>
                <c:pt idx="123">
                  <c:v>0.70850000000000002</c:v>
                </c:pt>
                <c:pt idx="124">
                  <c:v>0.71179999999999999</c:v>
                </c:pt>
                <c:pt idx="125">
                  <c:v>0.67900000000000005</c:v>
                </c:pt>
                <c:pt idx="126">
                  <c:v>0.68559999999999999</c:v>
                </c:pt>
                <c:pt idx="127">
                  <c:v>0.64129999999999998</c:v>
                </c:pt>
                <c:pt idx="128">
                  <c:v>0.62339999999999995</c:v>
                </c:pt>
                <c:pt idx="129">
                  <c:v>0.65610000000000002</c:v>
                </c:pt>
                <c:pt idx="130">
                  <c:v>0.67579999999999996</c:v>
                </c:pt>
                <c:pt idx="131">
                  <c:v>0.66930000000000001</c:v>
                </c:pt>
                <c:pt idx="132">
                  <c:v>0.66930000000000001</c:v>
                </c:pt>
                <c:pt idx="133">
                  <c:v>0.67589999999999995</c:v>
                </c:pt>
                <c:pt idx="134">
                  <c:v>0.63970000000000005</c:v>
                </c:pt>
                <c:pt idx="135">
                  <c:v>0.66439999999999999</c:v>
                </c:pt>
                <c:pt idx="136">
                  <c:v>0.61350000000000005</c:v>
                </c:pt>
                <c:pt idx="137">
                  <c:v>0.64470000000000005</c:v>
                </c:pt>
                <c:pt idx="138">
                  <c:v>0.61839999999999995</c:v>
                </c:pt>
                <c:pt idx="139">
                  <c:v>0.62329999999999997</c:v>
                </c:pt>
                <c:pt idx="140">
                  <c:v>0.62990000000000002</c:v>
                </c:pt>
                <c:pt idx="141">
                  <c:v>0.61680000000000001</c:v>
                </c:pt>
                <c:pt idx="142">
                  <c:v>0.62660000000000005</c:v>
                </c:pt>
                <c:pt idx="143">
                  <c:v>0.61019999999999996</c:v>
                </c:pt>
                <c:pt idx="144">
                  <c:v>0.60040000000000004</c:v>
                </c:pt>
                <c:pt idx="145">
                  <c:v>0.59709999999999996</c:v>
                </c:pt>
                <c:pt idx="146">
                  <c:v>0.57740000000000002</c:v>
                </c:pt>
                <c:pt idx="147">
                  <c:v>0.58879999999999999</c:v>
                </c:pt>
                <c:pt idx="148">
                  <c:v>0.61509999999999998</c:v>
                </c:pt>
                <c:pt idx="149">
                  <c:v>0.57899999999999996</c:v>
                </c:pt>
                <c:pt idx="150">
                  <c:v>0.57410000000000005</c:v>
                </c:pt>
                <c:pt idx="151">
                  <c:v>0.54620000000000002</c:v>
                </c:pt>
                <c:pt idx="152">
                  <c:v>0.5282</c:v>
                </c:pt>
                <c:pt idx="153">
                  <c:v>0.55430000000000001</c:v>
                </c:pt>
                <c:pt idx="154">
                  <c:v>0.50690000000000002</c:v>
                </c:pt>
                <c:pt idx="155">
                  <c:v>0.54769999999999996</c:v>
                </c:pt>
                <c:pt idx="156">
                  <c:v>0.53620000000000001</c:v>
                </c:pt>
                <c:pt idx="157">
                  <c:v>0.56399999999999995</c:v>
                </c:pt>
                <c:pt idx="158">
                  <c:v>0.57550000000000001</c:v>
                </c:pt>
                <c:pt idx="159">
                  <c:v>0.64149999999999996</c:v>
                </c:pt>
                <c:pt idx="160">
                  <c:v>0.67469999999999997</c:v>
                </c:pt>
                <c:pt idx="161">
                  <c:v>0.7208</c:v>
                </c:pt>
                <c:pt idx="162">
                  <c:v>0.70940000000000003</c:v>
                </c:pt>
                <c:pt idx="163">
                  <c:v>0.68820000000000003</c:v>
                </c:pt>
                <c:pt idx="164">
                  <c:v>0.66869999999999996</c:v>
                </c:pt>
                <c:pt idx="165">
                  <c:v>0.68010000000000004</c:v>
                </c:pt>
                <c:pt idx="166">
                  <c:v>0.65090000000000003</c:v>
                </c:pt>
                <c:pt idx="167">
                  <c:v>0.62819999999999998</c:v>
                </c:pt>
                <c:pt idx="168">
                  <c:v>0.6542</c:v>
                </c:pt>
                <c:pt idx="169">
                  <c:v>0.6835</c:v>
                </c:pt>
                <c:pt idx="170">
                  <c:v>0.68840000000000001</c:v>
                </c:pt>
                <c:pt idx="171">
                  <c:v>0.75219999999999998</c:v>
                </c:pt>
                <c:pt idx="172">
                  <c:v>0.72109999999999996</c:v>
                </c:pt>
                <c:pt idx="173">
                  <c:v>0.70479999999999998</c:v>
                </c:pt>
                <c:pt idx="174">
                  <c:v>0.66890000000000005</c:v>
                </c:pt>
                <c:pt idx="175">
                  <c:v>0.64770000000000005</c:v>
                </c:pt>
                <c:pt idx="176">
                  <c:v>0.63470000000000004</c:v>
                </c:pt>
                <c:pt idx="177">
                  <c:v>0.71799999999999997</c:v>
                </c:pt>
                <c:pt idx="178">
                  <c:v>0.71799999999999997</c:v>
                </c:pt>
                <c:pt idx="179">
                  <c:v>0.67879999999999996</c:v>
                </c:pt>
                <c:pt idx="180">
                  <c:v>0.70009999999999994</c:v>
                </c:pt>
                <c:pt idx="181">
                  <c:v>0.67720000000000002</c:v>
                </c:pt>
                <c:pt idx="182">
                  <c:v>0.66579999999999995</c:v>
                </c:pt>
                <c:pt idx="183">
                  <c:v>0.67230000000000001</c:v>
                </c:pt>
                <c:pt idx="184">
                  <c:v>0.67889999999999995</c:v>
                </c:pt>
                <c:pt idx="185">
                  <c:v>0.69689999999999996</c:v>
                </c:pt>
                <c:pt idx="186">
                  <c:v>0.68869999999999998</c:v>
                </c:pt>
                <c:pt idx="187">
                  <c:v>0.69369999999999998</c:v>
                </c:pt>
                <c:pt idx="188">
                  <c:v>0.66579999999999995</c:v>
                </c:pt>
                <c:pt idx="189">
                  <c:v>0.67079999999999995</c:v>
                </c:pt>
                <c:pt idx="190">
                  <c:v>0.6724</c:v>
                </c:pt>
                <c:pt idx="191">
                  <c:v>0.66590000000000005</c:v>
                </c:pt>
                <c:pt idx="192">
                  <c:v>0.65439999999999998</c:v>
                </c:pt>
                <c:pt idx="193">
                  <c:v>0.65280000000000005</c:v>
                </c:pt>
                <c:pt idx="194">
                  <c:v>0.64949999999999997</c:v>
                </c:pt>
                <c:pt idx="195">
                  <c:v>0.68400000000000005</c:v>
                </c:pt>
                <c:pt idx="196">
                  <c:v>0.6774</c:v>
                </c:pt>
                <c:pt idx="197">
                  <c:v>0.70050000000000001</c:v>
                </c:pt>
                <c:pt idx="198">
                  <c:v>0.78169999999999995</c:v>
                </c:pt>
                <c:pt idx="199">
                  <c:v>0.73529999999999995</c:v>
                </c:pt>
                <c:pt idx="200">
                  <c:v>0.78680000000000005</c:v>
                </c:pt>
                <c:pt idx="201">
                  <c:v>0.78520000000000001</c:v>
                </c:pt>
                <c:pt idx="202">
                  <c:v>0.77370000000000005</c:v>
                </c:pt>
                <c:pt idx="203">
                  <c:v>0.77370000000000005</c:v>
                </c:pt>
                <c:pt idx="204">
                  <c:v>0.72719999999999996</c:v>
                </c:pt>
                <c:pt idx="205">
                  <c:v>0.72560000000000002</c:v>
                </c:pt>
                <c:pt idx="206">
                  <c:v>0.73219999999999996</c:v>
                </c:pt>
                <c:pt idx="207">
                  <c:v>0.74560000000000004</c:v>
                </c:pt>
                <c:pt idx="208">
                  <c:v>0.76900000000000002</c:v>
                </c:pt>
                <c:pt idx="209">
                  <c:v>0.78569999999999995</c:v>
                </c:pt>
                <c:pt idx="210">
                  <c:v>0.8226</c:v>
                </c:pt>
                <c:pt idx="211">
                  <c:v>0.85619999999999996</c:v>
                </c:pt>
                <c:pt idx="212">
                  <c:v>0.84289999999999998</c:v>
                </c:pt>
                <c:pt idx="213">
                  <c:v>0.80100000000000005</c:v>
                </c:pt>
                <c:pt idx="214">
                  <c:v>0.76759999999999995</c:v>
                </c:pt>
                <c:pt idx="215">
                  <c:v>0.77100000000000002</c:v>
                </c:pt>
                <c:pt idx="216">
                  <c:v>0.82299999999999995</c:v>
                </c:pt>
                <c:pt idx="217">
                  <c:v>0.87370000000000003</c:v>
                </c:pt>
                <c:pt idx="218">
                  <c:v>0.84340000000000004</c:v>
                </c:pt>
                <c:pt idx="219">
                  <c:v>0.89929999999999999</c:v>
                </c:pt>
                <c:pt idx="220">
                  <c:v>0.76290000000000002</c:v>
                </c:pt>
                <c:pt idx="221">
                  <c:v>0.76290000000000002</c:v>
                </c:pt>
                <c:pt idx="222">
                  <c:v>0.81850000000000001</c:v>
                </c:pt>
                <c:pt idx="223">
                  <c:v>0.92349999999999999</c:v>
                </c:pt>
                <c:pt idx="224">
                  <c:v>0.95950000000000002</c:v>
                </c:pt>
                <c:pt idx="225">
                  <c:v>0.97529999999999994</c:v>
                </c:pt>
                <c:pt idx="226">
                  <c:v>0.88149999999999995</c:v>
                </c:pt>
                <c:pt idx="227">
                  <c:v>0.89629999999999999</c:v>
                </c:pt>
                <c:pt idx="228">
                  <c:v>0.90610000000000002</c:v>
                </c:pt>
                <c:pt idx="229">
                  <c:v>0.85699999999999998</c:v>
                </c:pt>
                <c:pt idx="230">
                  <c:v>0.87009999999999998</c:v>
                </c:pt>
                <c:pt idx="231">
                  <c:v>0.82930000000000004</c:v>
                </c:pt>
                <c:pt idx="232">
                  <c:v>0.82430000000000003</c:v>
                </c:pt>
                <c:pt idx="233">
                  <c:v>0.85370000000000001</c:v>
                </c:pt>
                <c:pt idx="234">
                  <c:v>0.87990000000000002</c:v>
                </c:pt>
                <c:pt idx="235">
                  <c:v>0.88160000000000005</c:v>
                </c:pt>
                <c:pt idx="236">
                  <c:v>0.88160000000000005</c:v>
                </c:pt>
                <c:pt idx="237">
                  <c:v>0.83730000000000004</c:v>
                </c:pt>
                <c:pt idx="238">
                  <c:v>0.83889999999999998</c:v>
                </c:pt>
                <c:pt idx="239">
                  <c:v>0.92600000000000005</c:v>
                </c:pt>
                <c:pt idx="240">
                  <c:v>0.93600000000000005</c:v>
                </c:pt>
                <c:pt idx="241">
                  <c:v>0.90629999999999999</c:v>
                </c:pt>
                <c:pt idx="242">
                  <c:v>0.96589999999999998</c:v>
                </c:pt>
                <c:pt idx="243">
                  <c:v>0.92279999999999995</c:v>
                </c:pt>
                <c:pt idx="244">
                  <c:v>0.91790000000000005</c:v>
                </c:pt>
                <c:pt idx="245">
                  <c:v>0.93610000000000004</c:v>
                </c:pt>
                <c:pt idx="246">
                  <c:v>0.90629999999999999</c:v>
                </c:pt>
                <c:pt idx="247">
                  <c:v>0.89639999999999997</c:v>
                </c:pt>
                <c:pt idx="248">
                  <c:v>0.8931</c:v>
                </c:pt>
                <c:pt idx="249">
                  <c:v>0.90800000000000003</c:v>
                </c:pt>
                <c:pt idx="250">
                  <c:v>0.9163</c:v>
                </c:pt>
                <c:pt idx="251">
                  <c:v>0.93289999999999995</c:v>
                </c:pt>
                <c:pt idx="252">
                  <c:v>0.94620000000000004</c:v>
                </c:pt>
                <c:pt idx="253">
                  <c:v>0.93459999999999999</c:v>
                </c:pt>
                <c:pt idx="254">
                  <c:v>0.91639999999999999</c:v>
                </c:pt>
                <c:pt idx="255">
                  <c:v>0.94299999999999995</c:v>
                </c:pt>
                <c:pt idx="256">
                  <c:v>0.92310000000000003</c:v>
                </c:pt>
                <c:pt idx="257">
                  <c:v>0.92310000000000003</c:v>
                </c:pt>
                <c:pt idx="258">
                  <c:v>0.92310000000000003</c:v>
                </c:pt>
                <c:pt idx="259">
                  <c:v>0.93640000000000001</c:v>
                </c:pt>
                <c:pt idx="260">
                  <c:v>0.92310000000000003</c:v>
                </c:pt>
                <c:pt idx="261">
                  <c:v>0.91320000000000001</c:v>
                </c:pt>
              </c:numCache>
            </c:numRef>
          </c:val>
          <c:smooth val="0"/>
          <c:extLst>
            <c:ext xmlns:c16="http://schemas.microsoft.com/office/drawing/2014/chart" uri="{C3380CC4-5D6E-409C-BE32-E72D297353CC}">
              <c16:uniqueId val="{00000002-F508-47B1-8F53-04F136B7E64C}"/>
            </c:ext>
          </c:extLst>
        </c:ser>
        <c:ser>
          <c:idx val="3"/>
          <c:order val="3"/>
          <c:tx>
            <c:strRef>
              <c:f>'10 Year Bond Yield'!$E$1</c:f>
              <c:strCache>
                <c:ptCount val="1"/>
                <c:pt idx="0">
                  <c:v>UK</c:v>
                </c:pt>
              </c:strCache>
            </c:strRef>
          </c:tx>
          <c:spPr>
            <a:ln w="28575" cap="rnd">
              <a:solidFill>
                <a:schemeClr val="accent4"/>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Yield'!$E$2350:$E$2611</c:f>
              <c:numCache>
                <c:formatCode>General</c:formatCode>
                <c:ptCount val="262"/>
                <c:pt idx="0">
                  <c:v>0.82199999999999995</c:v>
                </c:pt>
                <c:pt idx="1">
                  <c:v>0.79300000000000004</c:v>
                </c:pt>
                <c:pt idx="2">
                  <c:v>0.73799999999999999</c:v>
                </c:pt>
                <c:pt idx="3">
                  <c:v>0.76800000000000002</c:v>
                </c:pt>
                <c:pt idx="4">
                  <c:v>0.79200000000000004</c:v>
                </c:pt>
                <c:pt idx="5">
                  <c:v>0.81699999999999995</c:v>
                </c:pt>
                <c:pt idx="6">
                  <c:v>0.82</c:v>
                </c:pt>
                <c:pt idx="7">
                  <c:v>0.76900000000000002</c:v>
                </c:pt>
                <c:pt idx="8">
                  <c:v>0.75</c:v>
                </c:pt>
                <c:pt idx="9">
                  <c:v>0.72</c:v>
                </c:pt>
                <c:pt idx="10">
                  <c:v>0.65400000000000003</c:v>
                </c:pt>
                <c:pt idx="11">
                  <c:v>0.64300000000000002</c:v>
                </c:pt>
                <c:pt idx="12">
                  <c:v>0.63200000000000001</c:v>
                </c:pt>
                <c:pt idx="13">
                  <c:v>0.65</c:v>
                </c:pt>
                <c:pt idx="14">
                  <c:v>0.63100000000000001</c:v>
                </c:pt>
                <c:pt idx="15">
                  <c:v>0.63500000000000001</c:v>
                </c:pt>
                <c:pt idx="16">
                  <c:v>0.59099999999999997</c:v>
                </c:pt>
                <c:pt idx="17">
                  <c:v>0.56299999999999994</c:v>
                </c:pt>
                <c:pt idx="18">
                  <c:v>0.50800000000000001</c:v>
                </c:pt>
                <c:pt idx="19">
                  <c:v>0.55200000000000005</c:v>
                </c:pt>
                <c:pt idx="20">
                  <c:v>0.51600000000000001</c:v>
                </c:pt>
                <c:pt idx="21">
                  <c:v>0.54200000000000004</c:v>
                </c:pt>
                <c:pt idx="22">
                  <c:v>0.52400000000000002</c:v>
                </c:pt>
                <c:pt idx="23">
                  <c:v>0.51300000000000001</c:v>
                </c:pt>
                <c:pt idx="24">
                  <c:v>0.56599999999999995</c:v>
                </c:pt>
                <c:pt idx="25">
                  <c:v>0.61599999999999999</c:v>
                </c:pt>
                <c:pt idx="26">
                  <c:v>0.58199999999999996</c:v>
                </c:pt>
                <c:pt idx="27">
                  <c:v>0.56999999999999995</c:v>
                </c:pt>
                <c:pt idx="28">
                  <c:v>0.55700000000000005</c:v>
                </c:pt>
                <c:pt idx="29">
                  <c:v>0.56899999999999995</c:v>
                </c:pt>
                <c:pt idx="30">
                  <c:v>0.61099999999999999</c:v>
                </c:pt>
                <c:pt idx="31">
                  <c:v>0.65200000000000002</c:v>
                </c:pt>
                <c:pt idx="32">
                  <c:v>0.628</c:v>
                </c:pt>
                <c:pt idx="33">
                  <c:v>0.64100000000000001</c:v>
                </c:pt>
                <c:pt idx="34">
                  <c:v>0.61099999999999999</c:v>
                </c:pt>
                <c:pt idx="35">
                  <c:v>0.59899999999999998</c:v>
                </c:pt>
                <c:pt idx="36">
                  <c:v>0.57599999999999996</c:v>
                </c:pt>
                <c:pt idx="37">
                  <c:v>0.57299999999999995</c:v>
                </c:pt>
                <c:pt idx="38">
                  <c:v>0.54</c:v>
                </c:pt>
                <c:pt idx="39">
                  <c:v>0.51900000000000002</c:v>
                </c:pt>
                <c:pt idx="40">
                  <c:v>0.504</c:v>
                </c:pt>
                <c:pt idx="41">
                  <c:v>0.47</c:v>
                </c:pt>
                <c:pt idx="42">
                  <c:v>0.442</c:v>
                </c:pt>
                <c:pt idx="43">
                  <c:v>0.40600000000000003</c:v>
                </c:pt>
                <c:pt idx="44">
                  <c:v>0.39</c:v>
                </c:pt>
                <c:pt idx="45">
                  <c:v>0.36899999999999999</c:v>
                </c:pt>
                <c:pt idx="46">
                  <c:v>0.33100000000000002</c:v>
                </c:pt>
                <c:pt idx="47">
                  <c:v>0.23599999999999999</c:v>
                </c:pt>
                <c:pt idx="48">
                  <c:v>0.159</c:v>
                </c:pt>
                <c:pt idx="49">
                  <c:v>0.24</c:v>
                </c:pt>
                <c:pt idx="50">
                  <c:v>0.29599999999999999</c:v>
                </c:pt>
                <c:pt idx="51">
                  <c:v>0.26500000000000001</c:v>
                </c:pt>
                <c:pt idx="52">
                  <c:v>0.41299999999999998</c:v>
                </c:pt>
                <c:pt idx="53">
                  <c:v>0.438</c:v>
                </c:pt>
                <c:pt idx="54">
                  <c:v>0.55400000000000005</c:v>
                </c:pt>
                <c:pt idx="55">
                  <c:v>0.79600000000000004</c:v>
                </c:pt>
                <c:pt idx="56">
                  <c:v>0.72399999999999998</c:v>
                </c:pt>
                <c:pt idx="57">
                  <c:v>0.56200000000000006</c:v>
                </c:pt>
                <c:pt idx="58">
                  <c:v>0.42499999999999999</c:v>
                </c:pt>
                <c:pt idx="59">
                  <c:v>0.47899999999999998</c:v>
                </c:pt>
                <c:pt idx="60">
                  <c:v>0.44500000000000001</c:v>
                </c:pt>
                <c:pt idx="61">
                  <c:v>0.39900000000000002</c:v>
                </c:pt>
                <c:pt idx="62">
                  <c:v>0.36699999999999999</c:v>
                </c:pt>
                <c:pt idx="63">
                  <c:v>0.33600000000000002</c:v>
                </c:pt>
                <c:pt idx="64">
                  <c:v>0.35599999999999998</c:v>
                </c:pt>
                <c:pt idx="65">
                  <c:v>0.314</c:v>
                </c:pt>
                <c:pt idx="66">
                  <c:v>0.33300000000000002</c:v>
                </c:pt>
                <c:pt idx="67">
                  <c:v>0.311</c:v>
                </c:pt>
                <c:pt idx="68">
                  <c:v>0.33400000000000002</c:v>
                </c:pt>
                <c:pt idx="69">
                  <c:v>0.41399999999999998</c:v>
                </c:pt>
                <c:pt idx="70">
                  <c:v>0.38400000000000001</c:v>
                </c:pt>
                <c:pt idx="71">
                  <c:v>0.30599999999999999</c:v>
                </c:pt>
                <c:pt idx="72">
                  <c:v>0.30599999999999999</c:v>
                </c:pt>
                <c:pt idx="73">
                  <c:v>0.30599999999999999</c:v>
                </c:pt>
                <c:pt idx="74">
                  <c:v>0.34100000000000003</c:v>
                </c:pt>
                <c:pt idx="75">
                  <c:v>0.30199999999999999</c:v>
                </c:pt>
                <c:pt idx="76">
                  <c:v>0.30199999999999999</c:v>
                </c:pt>
                <c:pt idx="77">
                  <c:v>0.30399999999999999</c:v>
                </c:pt>
                <c:pt idx="78">
                  <c:v>0.33700000000000002</c:v>
                </c:pt>
                <c:pt idx="79">
                  <c:v>0.29699999999999999</c:v>
                </c:pt>
                <c:pt idx="80">
                  <c:v>0.32700000000000001</c:v>
                </c:pt>
                <c:pt idx="81">
                  <c:v>0.29199999999999998</c:v>
                </c:pt>
                <c:pt idx="82">
                  <c:v>0.29099999999999998</c:v>
                </c:pt>
                <c:pt idx="83">
                  <c:v>0.30099999999999999</c:v>
                </c:pt>
                <c:pt idx="84">
                  <c:v>0.28699999999999998</c:v>
                </c:pt>
                <c:pt idx="85">
                  <c:v>0.28499999999999998</c:v>
                </c:pt>
                <c:pt idx="86">
                  <c:v>0.23100000000000001</c:v>
                </c:pt>
                <c:pt idx="87">
                  <c:v>0.248</c:v>
                </c:pt>
                <c:pt idx="88">
                  <c:v>0.23100000000000001</c:v>
                </c:pt>
                <c:pt idx="89">
                  <c:v>0.20599999999999999</c:v>
                </c:pt>
                <c:pt idx="90">
                  <c:v>0.23100000000000001</c:v>
                </c:pt>
                <c:pt idx="91">
                  <c:v>0.23499999999999999</c:v>
                </c:pt>
                <c:pt idx="92">
                  <c:v>0.23499999999999999</c:v>
                </c:pt>
                <c:pt idx="93">
                  <c:v>0.26900000000000002</c:v>
                </c:pt>
                <c:pt idx="94">
                  <c:v>0.249</c:v>
                </c:pt>
                <c:pt idx="95">
                  <c:v>0.20799999999999999</c:v>
                </c:pt>
                <c:pt idx="96">
                  <c:v>0.20399999999999999</c:v>
                </c:pt>
                <c:pt idx="97">
                  <c:v>0.23100000000000001</c:v>
                </c:pt>
                <c:pt idx="98">
                  <c:v>0.25700000000000001</c:v>
                </c:pt>
                <c:pt idx="99">
                  <c:v>0.245</c:v>
                </c:pt>
                <c:pt idx="100">
                  <c:v>0.22900000000000001</c:v>
                </c:pt>
                <c:pt idx="101">
                  <c:v>0.17100000000000001</c:v>
                </c:pt>
                <c:pt idx="102">
                  <c:v>0.17399999999999999</c:v>
                </c:pt>
                <c:pt idx="103">
                  <c:v>0.17399999999999999</c:v>
                </c:pt>
                <c:pt idx="104">
                  <c:v>0.215</c:v>
                </c:pt>
                <c:pt idx="105">
                  <c:v>0.193</c:v>
                </c:pt>
                <c:pt idx="106">
                  <c:v>0.21</c:v>
                </c:pt>
                <c:pt idx="107">
                  <c:v>0.184</c:v>
                </c:pt>
                <c:pt idx="108">
                  <c:v>0.23100000000000001</c:v>
                </c:pt>
                <c:pt idx="109">
                  <c:v>0.222</c:v>
                </c:pt>
                <c:pt idx="110">
                  <c:v>0.27400000000000002</c:v>
                </c:pt>
                <c:pt idx="111">
                  <c:v>0.30599999999999999</c:v>
                </c:pt>
                <c:pt idx="112">
                  <c:v>0.35399999999999998</c:v>
                </c:pt>
                <c:pt idx="113">
                  <c:v>0.33400000000000002</c:v>
                </c:pt>
                <c:pt idx="114">
                  <c:v>0.33600000000000002</c:v>
                </c:pt>
                <c:pt idx="115">
                  <c:v>0.26700000000000002</c:v>
                </c:pt>
                <c:pt idx="116">
                  <c:v>0.19800000000000001</c:v>
                </c:pt>
                <c:pt idx="117">
                  <c:v>0.20799999999999999</c:v>
                </c:pt>
                <c:pt idx="118">
                  <c:v>0.20499999999999999</c:v>
                </c:pt>
                <c:pt idx="119">
                  <c:v>0.20699999999999999</c:v>
                </c:pt>
                <c:pt idx="120">
                  <c:v>0.19</c:v>
                </c:pt>
                <c:pt idx="121">
                  <c:v>0.22800000000000001</c:v>
                </c:pt>
                <c:pt idx="122">
                  <c:v>0.23799999999999999</c:v>
                </c:pt>
                <c:pt idx="123">
                  <c:v>0.193</c:v>
                </c:pt>
                <c:pt idx="124">
                  <c:v>0.21099999999999999</c:v>
                </c:pt>
                <c:pt idx="125">
                  <c:v>0.189</c:v>
                </c:pt>
                <c:pt idx="126">
                  <c:v>0.154</c:v>
                </c:pt>
                <c:pt idx="127">
                  <c:v>0.17199999999999999</c:v>
                </c:pt>
                <c:pt idx="128">
                  <c:v>0.16300000000000001</c:v>
                </c:pt>
                <c:pt idx="129">
                  <c:v>0.17199999999999999</c:v>
                </c:pt>
                <c:pt idx="130">
                  <c:v>0.21099999999999999</c:v>
                </c:pt>
                <c:pt idx="131">
                  <c:v>0.186</c:v>
                </c:pt>
                <c:pt idx="132">
                  <c:v>0.188</c:v>
                </c:pt>
                <c:pt idx="133">
                  <c:v>0.20100000000000001</c:v>
                </c:pt>
                <c:pt idx="134">
                  <c:v>0.18</c:v>
                </c:pt>
                <c:pt idx="135">
                  <c:v>0.183</c:v>
                </c:pt>
                <c:pt idx="136">
                  <c:v>0.158</c:v>
                </c:pt>
                <c:pt idx="137">
                  <c:v>0.155</c:v>
                </c:pt>
                <c:pt idx="138">
                  <c:v>0.186</c:v>
                </c:pt>
                <c:pt idx="139">
                  <c:v>0.15</c:v>
                </c:pt>
                <c:pt idx="140">
                  <c:v>0.16600000000000001</c:v>
                </c:pt>
                <c:pt idx="141">
                  <c:v>0.13900000000000001</c:v>
                </c:pt>
                <c:pt idx="142">
                  <c:v>0.16300000000000001</c:v>
                </c:pt>
                <c:pt idx="143">
                  <c:v>0.151</c:v>
                </c:pt>
                <c:pt idx="144">
                  <c:v>0.13600000000000001</c:v>
                </c:pt>
                <c:pt idx="145">
                  <c:v>0.12</c:v>
                </c:pt>
                <c:pt idx="146">
                  <c:v>0.124</c:v>
                </c:pt>
                <c:pt idx="147">
                  <c:v>0.14399999999999999</c:v>
                </c:pt>
                <c:pt idx="148">
                  <c:v>0.109</c:v>
                </c:pt>
                <c:pt idx="149">
                  <c:v>0.109</c:v>
                </c:pt>
                <c:pt idx="150">
                  <c:v>0.11799999999999999</c:v>
                </c:pt>
                <c:pt idx="151">
                  <c:v>8.7999999999999995E-2</c:v>
                </c:pt>
                <c:pt idx="152">
                  <c:v>0.104</c:v>
                </c:pt>
                <c:pt idx="153">
                  <c:v>9.9000000000000005E-2</c:v>
                </c:pt>
                <c:pt idx="154">
                  <c:v>7.6999999999999999E-2</c:v>
                </c:pt>
                <c:pt idx="155">
                  <c:v>0.13</c:v>
                </c:pt>
                <c:pt idx="156">
                  <c:v>0.108</c:v>
                </c:pt>
                <c:pt idx="157">
                  <c:v>0.13900000000000001</c:v>
                </c:pt>
                <c:pt idx="158">
                  <c:v>0.13100000000000001</c:v>
                </c:pt>
                <c:pt idx="159">
                  <c:v>0.2</c:v>
                </c:pt>
                <c:pt idx="160">
                  <c:v>0.23699999999999999</c:v>
                </c:pt>
                <c:pt idx="161">
                  <c:v>0.24299999999999999</c:v>
                </c:pt>
                <c:pt idx="162">
                  <c:v>0.24299999999999999</c:v>
                </c:pt>
                <c:pt idx="163">
                  <c:v>0.216</c:v>
                </c:pt>
                <c:pt idx="164">
                  <c:v>0.219</c:v>
                </c:pt>
                <c:pt idx="165">
                  <c:v>0.23599999999999999</c:v>
                </c:pt>
                <c:pt idx="166">
                  <c:v>0.22500000000000001</c:v>
                </c:pt>
                <c:pt idx="167">
                  <c:v>0.20599999999999999</c:v>
                </c:pt>
                <c:pt idx="168">
                  <c:v>0.21299999999999999</c:v>
                </c:pt>
                <c:pt idx="169">
                  <c:v>0.26300000000000001</c:v>
                </c:pt>
                <c:pt idx="170">
                  <c:v>0.30199999999999999</c:v>
                </c:pt>
                <c:pt idx="171">
                  <c:v>0.33600000000000002</c:v>
                </c:pt>
                <c:pt idx="172">
                  <c:v>0.311</c:v>
                </c:pt>
                <c:pt idx="173">
                  <c:v>0.311</c:v>
                </c:pt>
                <c:pt idx="174">
                  <c:v>0.29499999999999998</c:v>
                </c:pt>
                <c:pt idx="175">
                  <c:v>0.23</c:v>
                </c:pt>
                <c:pt idx="176">
                  <c:v>0.23699999999999999</c:v>
                </c:pt>
                <c:pt idx="177">
                  <c:v>0.26300000000000001</c:v>
                </c:pt>
                <c:pt idx="178">
                  <c:v>0.248</c:v>
                </c:pt>
                <c:pt idx="179">
                  <c:v>0.188</c:v>
                </c:pt>
                <c:pt idx="180">
                  <c:v>0.23699999999999999</c:v>
                </c:pt>
                <c:pt idx="181">
                  <c:v>0.22700000000000001</c:v>
                </c:pt>
                <c:pt idx="182">
                  <c:v>0.182</c:v>
                </c:pt>
                <c:pt idx="183">
                  <c:v>0.19400000000000001</c:v>
                </c:pt>
                <c:pt idx="184">
                  <c:v>0.217</c:v>
                </c:pt>
                <c:pt idx="185">
                  <c:v>0.21099999999999999</c:v>
                </c:pt>
                <c:pt idx="186">
                  <c:v>0.185</c:v>
                </c:pt>
                <c:pt idx="187">
                  <c:v>0.183</c:v>
                </c:pt>
                <c:pt idx="188">
                  <c:v>0.157</c:v>
                </c:pt>
                <c:pt idx="189">
                  <c:v>0.20300000000000001</c:v>
                </c:pt>
                <c:pt idx="190">
                  <c:v>0.218</c:v>
                </c:pt>
                <c:pt idx="191">
                  <c:v>0.219</c:v>
                </c:pt>
                <c:pt idx="192">
                  <c:v>0.189</c:v>
                </c:pt>
                <c:pt idx="193">
                  <c:v>0.20200000000000001</c:v>
                </c:pt>
                <c:pt idx="194">
                  <c:v>0.184</c:v>
                </c:pt>
                <c:pt idx="195">
                  <c:v>0.22900000000000001</c:v>
                </c:pt>
                <c:pt idx="196">
                  <c:v>0.23400000000000001</c:v>
                </c:pt>
                <c:pt idx="197">
                  <c:v>0.246</c:v>
                </c:pt>
                <c:pt idx="198">
                  <c:v>0.28799999999999998</c:v>
                </c:pt>
                <c:pt idx="199">
                  <c:v>0.28699999999999998</c:v>
                </c:pt>
                <c:pt idx="200">
                  <c:v>0.30299999999999999</c:v>
                </c:pt>
                <c:pt idx="201">
                  <c:v>0.28899999999999998</c:v>
                </c:pt>
                <c:pt idx="202">
                  <c:v>0.28000000000000003</c:v>
                </c:pt>
                <c:pt idx="203">
                  <c:v>0.27100000000000002</c:v>
                </c:pt>
                <c:pt idx="204">
                  <c:v>0.23899999999999999</c:v>
                </c:pt>
                <c:pt idx="205">
                  <c:v>0.22</c:v>
                </c:pt>
                <c:pt idx="206">
                  <c:v>0.18</c:v>
                </c:pt>
                <c:pt idx="207">
                  <c:v>0.182</c:v>
                </c:pt>
                <c:pt idx="208">
                  <c:v>0.16900000000000001</c:v>
                </c:pt>
                <c:pt idx="209">
                  <c:v>0.187</c:v>
                </c:pt>
                <c:pt idx="210">
                  <c:v>0.24199999999999999</c:v>
                </c:pt>
                <c:pt idx="211">
                  <c:v>0.28399999999999997</c:v>
                </c:pt>
                <c:pt idx="212">
                  <c:v>0.28000000000000003</c:v>
                </c:pt>
                <c:pt idx="213">
                  <c:v>0.27500000000000002</c:v>
                </c:pt>
                <c:pt idx="214">
                  <c:v>0.23200000000000001</c:v>
                </c:pt>
                <c:pt idx="215">
                  <c:v>0.21299999999999999</c:v>
                </c:pt>
                <c:pt idx="216">
                  <c:v>0.221</c:v>
                </c:pt>
                <c:pt idx="217">
                  <c:v>0.26200000000000001</c:v>
                </c:pt>
                <c:pt idx="218">
                  <c:v>0.219</c:v>
                </c:pt>
                <c:pt idx="219">
                  <c:v>0.27200000000000002</c:v>
                </c:pt>
                <c:pt idx="220">
                  <c:v>0.20699999999999999</c:v>
                </c:pt>
                <c:pt idx="221">
                  <c:v>0.23400000000000001</c:v>
                </c:pt>
                <c:pt idx="222">
                  <c:v>0.27400000000000002</c:v>
                </c:pt>
                <c:pt idx="223">
                  <c:v>0.372</c:v>
                </c:pt>
                <c:pt idx="224">
                  <c:v>0.40100000000000002</c:v>
                </c:pt>
                <c:pt idx="225">
                  <c:v>0.41299999999999998</c:v>
                </c:pt>
                <c:pt idx="226">
                  <c:v>0.34799999999999998</c:v>
                </c:pt>
                <c:pt idx="227">
                  <c:v>0.33800000000000002</c:v>
                </c:pt>
                <c:pt idx="228">
                  <c:v>0.34899999999999998</c:v>
                </c:pt>
                <c:pt idx="229">
                  <c:v>0.32400000000000001</c:v>
                </c:pt>
                <c:pt idx="230">
                  <c:v>0.33700000000000002</c:v>
                </c:pt>
                <c:pt idx="231">
                  <c:v>0.32300000000000001</c:v>
                </c:pt>
                <c:pt idx="232">
                  <c:v>0.30199999999999999</c:v>
                </c:pt>
                <c:pt idx="233">
                  <c:v>0.318</c:v>
                </c:pt>
                <c:pt idx="234">
                  <c:v>0.33</c:v>
                </c:pt>
                <c:pt idx="235">
                  <c:v>0.318</c:v>
                </c:pt>
                <c:pt idx="236">
                  <c:v>0.28100000000000003</c:v>
                </c:pt>
                <c:pt idx="237">
                  <c:v>0.28399999999999997</c:v>
                </c:pt>
                <c:pt idx="238">
                  <c:v>0.30499999999999999</c:v>
                </c:pt>
                <c:pt idx="239">
                  <c:v>0.34699999999999998</c:v>
                </c:pt>
                <c:pt idx="240">
                  <c:v>0.35399999999999998</c:v>
                </c:pt>
                <c:pt idx="241">
                  <c:v>0.32200000000000001</c:v>
                </c:pt>
                <c:pt idx="242">
                  <c:v>0.35099999999999998</c:v>
                </c:pt>
                <c:pt idx="243">
                  <c:v>0.28299999999999997</c:v>
                </c:pt>
                <c:pt idx="244">
                  <c:v>0.25700000000000001</c:v>
                </c:pt>
                <c:pt idx="245">
                  <c:v>0.26100000000000001</c:v>
                </c:pt>
                <c:pt idx="246">
                  <c:v>0.20100000000000001</c:v>
                </c:pt>
                <c:pt idx="247">
                  <c:v>0.17199999999999999</c:v>
                </c:pt>
                <c:pt idx="248">
                  <c:v>0.222</c:v>
                </c:pt>
                <c:pt idx="249">
                  <c:v>0.26</c:v>
                </c:pt>
                <c:pt idx="250">
                  <c:v>0.27200000000000002</c:v>
                </c:pt>
                <c:pt idx="251">
                  <c:v>0.28699999999999998</c:v>
                </c:pt>
                <c:pt idx="252">
                  <c:v>0.249</c:v>
                </c:pt>
                <c:pt idx="253">
                  <c:v>0.20499999999999999</c:v>
                </c:pt>
                <c:pt idx="254">
                  <c:v>0.183</c:v>
                </c:pt>
                <c:pt idx="255">
                  <c:v>0.28599999999999998</c:v>
                </c:pt>
                <c:pt idx="256">
                  <c:v>0.25700000000000001</c:v>
                </c:pt>
                <c:pt idx="257">
                  <c:v>0.25700000000000001</c:v>
                </c:pt>
                <c:pt idx="258">
                  <c:v>0.25700000000000001</c:v>
                </c:pt>
                <c:pt idx="259">
                  <c:v>0.21299999999999999</c:v>
                </c:pt>
                <c:pt idx="260">
                  <c:v>0.21299999999999999</c:v>
                </c:pt>
                <c:pt idx="261">
                  <c:v>0.19700000000000001</c:v>
                </c:pt>
              </c:numCache>
            </c:numRef>
          </c:val>
          <c:smooth val="0"/>
          <c:extLst>
            <c:ext xmlns:c16="http://schemas.microsoft.com/office/drawing/2014/chart" uri="{C3380CC4-5D6E-409C-BE32-E72D297353CC}">
              <c16:uniqueId val="{00000003-F508-47B1-8F53-04F136B7E64C}"/>
            </c:ext>
          </c:extLst>
        </c:ser>
        <c:ser>
          <c:idx val="4"/>
          <c:order val="4"/>
          <c:tx>
            <c:strRef>
              <c:f>'10 Year Bond Yield'!$F$1</c:f>
              <c:strCache>
                <c:ptCount val="1"/>
                <c:pt idx="0">
                  <c:v>Japan</c:v>
                </c:pt>
              </c:strCache>
            </c:strRef>
          </c:tx>
          <c:spPr>
            <a:ln w="28575" cap="rnd">
              <a:solidFill>
                <a:schemeClr val="accent5"/>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Yield'!$F$2350:$F$2611</c:f>
              <c:numCache>
                <c:formatCode>General</c:formatCode>
                <c:ptCount val="262"/>
                <c:pt idx="0">
                  <c:v>-1.0999999999999999E-2</c:v>
                </c:pt>
                <c:pt idx="1">
                  <c:v>-1.0999999999999999E-2</c:v>
                </c:pt>
                <c:pt idx="2">
                  <c:v>-1.0999999999999999E-2</c:v>
                </c:pt>
                <c:pt idx="3">
                  <c:v>-0.02</c:v>
                </c:pt>
                <c:pt idx="4">
                  <c:v>-5.0000000000000001E-3</c:v>
                </c:pt>
                <c:pt idx="5">
                  <c:v>-2E-3</c:v>
                </c:pt>
                <c:pt idx="6">
                  <c:v>0.01</c:v>
                </c:pt>
                <c:pt idx="7">
                  <c:v>0</c:v>
                </c:pt>
                <c:pt idx="8">
                  <c:v>0</c:v>
                </c:pt>
                <c:pt idx="9">
                  <c:v>1.6E-2</c:v>
                </c:pt>
                <c:pt idx="10">
                  <c:v>0.01</c:v>
                </c:pt>
                <c:pt idx="11">
                  <c:v>1.4999999999999999E-2</c:v>
                </c:pt>
                <c:pt idx="12">
                  <c:v>3.0000000000000001E-3</c:v>
                </c:pt>
                <c:pt idx="13">
                  <c:v>0.01</c:v>
                </c:pt>
                <c:pt idx="14">
                  <c:v>5.0000000000000001E-3</c:v>
                </c:pt>
                <c:pt idx="15">
                  <c:v>2E-3</c:v>
                </c:pt>
                <c:pt idx="16">
                  <c:v>-1.7000000000000001E-2</c:v>
                </c:pt>
                <c:pt idx="17">
                  <c:v>-0.02</c:v>
                </c:pt>
                <c:pt idx="18">
                  <c:v>-4.3999999999999997E-2</c:v>
                </c:pt>
                <c:pt idx="19">
                  <c:v>-3.9E-2</c:v>
                </c:pt>
                <c:pt idx="20">
                  <c:v>-3.9E-2</c:v>
                </c:pt>
                <c:pt idx="21">
                  <c:v>-5.8000000000000003E-2</c:v>
                </c:pt>
                <c:pt idx="22">
                  <c:v>-6.6000000000000003E-2</c:v>
                </c:pt>
                <c:pt idx="23">
                  <c:v>-5.7000000000000002E-2</c:v>
                </c:pt>
                <c:pt idx="24">
                  <c:v>-4.7E-2</c:v>
                </c:pt>
                <c:pt idx="25">
                  <c:v>-3.5000000000000003E-2</c:v>
                </c:pt>
                <c:pt idx="26">
                  <c:v>-1.7000000000000001E-2</c:v>
                </c:pt>
                <c:pt idx="27">
                  <c:v>-3.7999999999999999E-2</c:v>
                </c:pt>
                <c:pt idx="28">
                  <c:v>-5.5E-2</c:v>
                </c:pt>
                <c:pt idx="29">
                  <c:v>-5.5E-2</c:v>
                </c:pt>
                <c:pt idx="30">
                  <c:v>-3.4000000000000002E-2</c:v>
                </c:pt>
                <c:pt idx="31">
                  <c:v>-3.4000000000000002E-2</c:v>
                </c:pt>
                <c:pt idx="32">
                  <c:v>-2.7E-2</c:v>
                </c:pt>
                <c:pt idx="33">
                  <c:v>-3.3000000000000002E-2</c:v>
                </c:pt>
                <c:pt idx="34">
                  <c:v>-0.06</c:v>
                </c:pt>
                <c:pt idx="35">
                  <c:v>-4.7E-2</c:v>
                </c:pt>
                <c:pt idx="36">
                  <c:v>-3.9E-2</c:v>
                </c:pt>
                <c:pt idx="37">
                  <c:v>-5.6000000000000001E-2</c:v>
                </c:pt>
                <c:pt idx="38">
                  <c:v>-5.6000000000000001E-2</c:v>
                </c:pt>
                <c:pt idx="39">
                  <c:v>-0.104</c:v>
                </c:pt>
                <c:pt idx="40">
                  <c:v>-8.5999999999999993E-2</c:v>
                </c:pt>
                <c:pt idx="41">
                  <c:v>-0.105</c:v>
                </c:pt>
                <c:pt idx="42">
                  <c:v>-0.153</c:v>
                </c:pt>
                <c:pt idx="43">
                  <c:v>-0.11700000000000001</c:v>
                </c:pt>
                <c:pt idx="44">
                  <c:v>-0.107</c:v>
                </c:pt>
                <c:pt idx="45">
                  <c:v>-0.126</c:v>
                </c:pt>
                <c:pt idx="46">
                  <c:v>-0.112</c:v>
                </c:pt>
                <c:pt idx="47">
                  <c:v>-0.121</c:v>
                </c:pt>
                <c:pt idx="48">
                  <c:v>-0.16300000000000001</c:v>
                </c:pt>
                <c:pt idx="49">
                  <c:v>-4.8000000000000001E-2</c:v>
                </c:pt>
                <c:pt idx="50">
                  <c:v>-6.6000000000000003E-2</c:v>
                </c:pt>
                <c:pt idx="51">
                  <c:v>-5.7000000000000002E-2</c:v>
                </c:pt>
                <c:pt idx="52">
                  <c:v>5.3999999999999999E-2</c:v>
                </c:pt>
                <c:pt idx="53">
                  <c:v>1.7000000000000001E-2</c:v>
                </c:pt>
                <c:pt idx="54">
                  <c:v>1.7999999999999999E-2</c:v>
                </c:pt>
                <c:pt idx="55">
                  <c:v>8.1000000000000003E-2</c:v>
                </c:pt>
                <c:pt idx="56">
                  <c:v>8.3000000000000004E-2</c:v>
                </c:pt>
                <c:pt idx="57">
                  <c:v>8.3000000000000004E-2</c:v>
                </c:pt>
                <c:pt idx="58">
                  <c:v>7.0000000000000007E-2</c:v>
                </c:pt>
                <c:pt idx="59">
                  <c:v>4.1000000000000002E-2</c:v>
                </c:pt>
                <c:pt idx="60">
                  <c:v>0.05</c:v>
                </c:pt>
                <c:pt idx="61">
                  <c:v>2E-3</c:v>
                </c:pt>
                <c:pt idx="62">
                  <c:v>1.7000000000000001E-2</c:v>
                </c:pt>
                <c:pt idx="63">
                  <c:v>1.9E-2</c:v>
                </c:pt>
                <c:pt idx="64">
                  <c:v>2.1999999999999999E-2</c:v>
                </c:pt>
                <c:pt idx="65">
                  <c:v>1.2999999999999999E-2</c:v>
                </c:pt>
                <c:pt idx="66">
                  <c:v>-7.0000000000000001E-3</c:v>
                </c:pt>
                <c:pt idx="67">
                  <c:v>-8.0000000000000002E-3</c:v>
                </c:pt>
                <c:pt idx="68">
                  <c:v>2.3E-2</c:v>
                </c:pt>
                <c:pt idx="69">
                  <c:v>1.9E-2</c:v>
                </c:pt>
                <c:pt idx="70">
                  <c:v>2.4E-2</c:v>
                </c:pt>
                <c:pt idx="71">
                  <c:v>1.7000000000000001E-2</c:v>
                </c:pt>
                <c:pt idx="72">
                  <c:v>1.7999999999999999E-2</c:v>
                </c:pt>
                <c:pt idx="73">
                  <c:v>2.3E-2</c:v>
                </c:pt>
                <c:pt idx="74">
                  <c:v>0.03</c:v>
                </c:pt>
                <c:pt idx="75">
                  <c:v>1.4E-2</c:v>
                </c:pt>
                <c:pt idx="76">
                  <c:v>1.7000000000000001E-2</c:v>
                </c:pt>
                <c:pt idx="77">
                  <c:v>2.7E-2</c:v>
                </c:pt>
                <c:pt idx="78">
                  <c:v>2.1999999999999999E-2</c:v>
                </c:pt>
                <c:pt idx="79">
                  <c:v>2.1999999999999999E-2</c:v>
                </c:pt>
                <c:pt idx="80">
                  <c:v>2E-3</c:v>
                </c:pt>
                <c:pt idx="81">
                  <c:v>8.0000000000000002E-3</c:v>
                </c:pt>
                <c:pt idx="82">
                  <c:v>-1.6E-2</c:v>
                </c:pt>
                <c:pt idx="83">
                  <c:v>-3.5000000000000003E-2</c:v>
                </c:pt>
                <c:pt idx="84">
                  <c:v>-3.7999999999999999E-2</c:v>
                </c:pt>
                <c:pt idx="85">
                  <c:v>-3.7999999999999999E-2</c:v>
                </c:pt>
                <c:pt idx="86">
                  <c:v>-0.03</c:v>
                </c:pt>
                <c:pt idx="87">
                  <c:v>-1.9E-2</c:v>
                </c:pt>
                <c:pt idx="88">
                  <c:v>-1.9E-2</c:v>
                </c:pt>
                <c:pt idx="89">
                  <c:v>-1.9E-2</c:v>
                </c:pt>
                <c:pt idx="90">
                  <c:v>-1.9E-2</c:v>
                </c:pt>
                <c:pt idx="91">
                  <c:v>5.0000000000000001E-3</c:v>
                </c:pt>
                <c:pt idx="92">
                  <c:v>-1E-3</c:v>
                </c:pt>
                <c:pt idx="93">
                  <c:v>1.4E-2</c:v>
                </c:pt>
                <c:pt idx="94">
                  <c:v>2E-3</c:v>
                </c:pt>
                <c:pt idx="95">
                  <c:v>1E-3</c:v>
                </c:pt>
                <c:pt idx="96">
                  <c:v>-2E-3</c:v>
                </c:pt>
                <c:pt idx="97">
                  <c:v>1E-3</c:v>
                </c:pt>
                <c:pt idx="98">
                  <c:v>-7.0000000000000001E-3</c:v>
                </c:pt>
                <c:pt idx="99">
                  <c:v>6.0000000000000001E-3</c:v>
                </c:pt>
                <c:pt idx="100">
                  <c:v>6.0000000000000001E-3</c:v>
                </c:pt>
                <c:pt idx="101">
                  <c:v>1E-3</c:v>
                </c:pt>
                <c:pt idx="102">
                  <c:v>0</c:v>
                </c:pt>
                <c:pt idx="103">
                  <c:v>2E-3</c:v>
                </c:pt>
                <c:pt idx="104">
                  <c:v>8.0000000000000002E-3</c:v>
                </c:pt>
                <c:pt idx="105">
                  <c:v>4.0000000000000001E-3</c:v>
                </c:pt>
                <c:pt idx="106">
                  <c:v>2E-3</c:v>
                </c:pt>
                <c:pt idx="107">
                  <c:v>5.0000000000000001E-3</c:v>
                </c:pt>
                <c:pt idx="108">
                  <c:v>1.4E-2</c:v>
                </c:pt>
                <c:pt idx="109">
                  <c:v>1.2E-2</c:v>
                </c:pt>
                <c:pt idx="110">
                  <c:v>1.6E-2</c:v>
                </c:pt>
                <c:pt idx="111">
                  <c:v>3.5999999999999997E-2</c:v>
                </c:pt>
                <c:pt idx="112">
                  <c:v>0.05</c:v>
                </c:pt>
                <c:pt idx="113">
                  <c:v>5.1999999999999998E-2</c:v>
                </c:pt>
                <c:pt idx="114">
                  <c:v>0.02</c:v>
                </c:pt>
                <c:pt idx="115">
                  <c:v>2.5000000000000001E-2</c:v>
                </c:pt>
                <c:pt idx="116">
                  <c:v>1.0999999999999999E-2</c:v>
                </c:pt>
                <c:pt idx="117">
                  <c:v>1.2999999999999999E-2</c:v>
                </c:pt>
                <c:pt idx="118">
                  <c:v>8.9999999999999993E-3</c:v>
                </c:pt>
                <c:pt idx="119">
                  <c:v>2.1000000000000001E-2</c:v>
                </c:pt>
                <c:pt idx="120">
                  <c:v>2.1000000000000001E-2</c:v>
                </c:pt>
                <c:pt idx="121">
                  <c:v>1.9E-2</c:v>
                </c:pt>
                <c:pt idx="122">
                  <c:v>1.7999999999999999E-2</c:v>
                </c:pt>
                <c:pt idx="123">
                  <c:v>1.2E-2</c:v>
                </c:pt>
                <c:pt idx="124">
                  <c:v>1.4E-2</c:v>
                </c:pt>
                <c:pt idx="125">
                  <c:v>1.4999999999999999E-2</c:v>
                </c:pt>
                <c:pt idx="126">
                  <c:v>1.4999999999999999E-2</c:v>
                </c:pt>
                <c:pt idx="127">
                  <c:v>1.2E-2</c:v>
                </c:pt>
                <c:pt idx="128">
                  <c:v>1.7999999999999999E-2</c:v>
                </c:pt>
                <c:pt idx="129">
                  <c:v>2.8000000000000001E-2</c:v>
                </c:pt>
                <c:pt idx="130">
                  <c:v>4.7E-2</c:v>
                </c:pt>
                <c:pt idx="131">
                  <c:v>3.5999999999999997E-2</c:v>
                </c:pt>
                <c:pt idx="132">
                  <c:v>2.8000000000000001E-2</c:v>
                </c:pt>
                <c:pt idx="133">
                  <c:v>4.1000000000000002E-2</c:v>
                </c:pt>
                <c:pt idx="134">
                  <c:v>4.5999999999999999E-2</c:v>
                </c:pt>
                <c:pt idx="135">
                  <c:v>3.4000000000000002E-2</c:v>
                </c:pt>
                <c:pt idx="136">
                  <c:v>3.1E-2</c:v>
                </c:pt>
                <c:pt idx="137">
                  <c:v>2.7E-2</c:v>
                </c:pt>
                <c:pt idx="138">
                  <c:v>0.04</c:v>
                </c:pt>
                <c:pt idx="139">
                  <c:v>3.3000000000000002E-2</c:v>
                </c:pt>
                <c:pt idx="140">
                  <c:v>3.5000000000000003E-2</c:v>
                </c:pt>
                <c:pt idx="141">
                  <c:v>2.5999999999999999E-2</c:v>
                </c:pt>
                <c:pt idx="142">
                  <c:v>2.4E-2</c:v>
                </c:pt>
                <c:pt idx="143">
                  <c:v>3.1E-2</c:v>
                </c:pt>
                <c:pt idx="144">
                  <c:v>2.5000000000000001E-2</c:v>
                </c:pt>
                <c:pt idx="145">
                  <c:v>1.9E-2</c:v>
                </c:pt>
                <c:pt idx="146">
                  <c:v>1.9E-2</c:v>
                </c:pt>
                <c:pt idx="147">
                  <c:v>1.9E-2</c:v>
                </c:pt>
                <c:pt idx="148">
                  <c:v>2.1999999999999999E-2</c:v>
                </c:pt>
                <c:pt idx="149">
                  <c:v>2.3E-2</c:v>
                </c:pt>
                <c:pt idx="150">
                  <c:v>2.3E-2</c:v>
                </c:pt>
                <c:pt idx="151">
                  <c:v>2.1000000000000001E-2</c:v>
                </c:pt>
                <c:pt idx="152">
                  <c:v>0.02</c:v>
                </c:pt>
                <c:pt idx="153">
                  <c:v>2.5999999999999999E-2</c:v>
                </c:pt>
                <c:pt idx="154">
                  <c:v>1.7999999999999999E-2</c:v>
                </c:pt>
                <c:pt idx="155">
                  <c:v>1.2E-2</c:v>
                </c:pt>
                <c:pt idx="156">
                  <c:v>0.02</c:v>
                </c:pt>
                <c:pt idx="157">
                  <c:v>1.2E-2</c:v>
                </c:pt>
                <c:pt idx="158">
                  <c:v>1.2E-2</c:v>
                </c:pt>
                <c:pt idx="159">
                  <c:v>3.3000000000000002E-2</c:v>
                </c:pt>
                <c:pt idx="160">
                  <c:v>4.4999999999999998E-2</c:v>
                </c:pt>
                <c:pt idx="161">
                  <c:v>3.5000000000000003E-2</c:v>
                </c:pt>
                <c:pt idx="162">
                  <c:v>5.0999999999999997E-2</c:v>
                </c:pt>
                <c:pt idx="163">
                  <c:v>4.7E-2</c:v>
                </c:pt>
                <c:pt idx="164">
                  <c:v>3.9E-2</c:v>
                </c:pt>
                <c:pt idx="165">
                  <c:v>3.2000000000000001E-2</c:v>
                </c:pt>
                <c:pt idx="166">
                  <c:v>3.5999999999999997E-2</c:v>
                </c:pt>
                <c:pt idx="167">
                  <c:v>3.4000000000000002E-2</c:v>
                </c:pt>
                <c:pt idx="168">
                  <c:v>2.7E-2</c:v>
                </c:pt>
                <c:pt idx="169">
                  <c:v>3.5000000000000003E-2</c:v>
                </c:pt>
                <c:pt idx="170">
                  <c:v>4.5999999999999999E-2</c:v>
                </c:pt>
                <c:pt idx="171">
                  <c:v>4.2999999999999997E-2</c:v>
                </c:pt>
                <c:pt idx="172">
                  <c:v>5.8999999999999997E-2</c:v>
                </c:pt>
                <c:pt idx="173">
                  <c:v>5.0999999999999997E-2</c:v>
                </c:pt>
                <c:pt idx="174">
                  <c:v>4.7E-2</c:v>
                </c:pt>
                <c:pt idx="175">
                  <c:v>4.2999999999999997E-2</c:v>
                </c:pt>
                <c:pt idx="176">
                  <c:v>0.04</c:v>
                </c:pt>
                <c:pt idx="177">
                  <c:v>4.1000000000000002E-2</c:v>
                </c:pt>
                <c:pt idx="178">
                  <c:v>4.7E-2</c:v>
                </c:pt>
                <c:pt idx="179">
                  <c:v>0.04</c:v>
                </c:pt>
                <c:pt idx="180">
                  <c:v>3.1E-2</c:v>
                </c:pt>
                <c:pt idx="181">
                  <c:v>2.8000000000000001E-2</c:v>
                </c:pt>
                <c:pt idx="182">
                  <c:v>2.7E-2</c:v>
                </c:pt>
                <c:pt idx="183">
                  <c:v>2.1000000000000001E-2</c:v>
                </c:pt>
                <c:pt idx="184">
                  <c:v>2.1000000000000001E-2</c:v>
                </c:pt>
                <c:pt idx="185">
                  <c:v>2.1000000000000001E-2</c:v>
                </c:pt>
                <c:pt idx="186">
                  <c:v>1.7000000000000001E-2</c:v>
                </c:pt>
                <c:pt idx="187">
                  <c:v>1.4999999999999999E-2</c:v>
                </c:pt>
                <c:pt idx="188">
                  <c:v>1.4999999999999999E-2</c:v>
                </c:pt>
                <c:pt idx="189">
                  <c:v>1.4999999999999999E-2</c:v>
                </c:pt>
                <c:pt idx="190">
                  <c:v>8.0000000000000002E-3</c:v>
                </c:pt>
                <c:pt idx="191">
                  <c:v>1.0999999999999999E-2</c:v>
                </c:pt>
                <c:pt idx="192">
                  <c:v>1.0999999999999999E-2</c:v>
                </c:pt>
                <c:pt idx="193">
                  <c:v>2.3E-2</c:v>
                </c:pt>
                <c:pt idx="194">
                  <c:v>1.7000000000000001E-2</c:v>
                </c:pt>
                <c:pt idx="195">
                  <c:v>1.6E-2</c:v>
                </c:pt>
                <c:pt idx="196">
                  <c:v>1.7000000000000001E-2</c:v>
                </c:pt>
                <c:pt idx="197">
                  <c:v>2.1999999999999999E-2</c:v>
                </c:pt>
                <c:pt idx="198">
                  <c:v>2.7E-2</c:v>
                </c:pt>
                <c:pt idx="199">
                  <c:v>3.9E-2</c:v>
                </c:pt>
                <c:pt idx="200">
                  <c:v>4.1000000000000002E-2</c:v>
                </c:pt>
                <c:pt idx="201">
                  <c:v>3.7999999999999999E-2</c:v>
                </c:pt>
                <c:pt idx="202">
                  <c:v>3.5999999999999997E-2</c:v>
                </c:pt>
                <c:pt idx="203">
                  <c:v>3.2000000000000001E-2</c:v>
                </c:pt>
                <c:pt idx="204">
                  <c:v>0.03</c:v>
                </c:pt>
                <c:pt idx="205">
                  <c:v>3.2000000000000001E-2</c:v>
                </c:pt>
                <c:pt idx="206">
                  <c:v>2.3E-2</c:v>
                </c:pt>
                <c:pt idx="207">
                  <c:v>2.3E-2</c:v>
                </c:pt>
                <c:pt idx="208">
                  <c:v>2.5999999999999999E-2</c:v>
                </c:pt>
                <c:pt idx="209">
                  <c:v>2.1999999999999999E-2</c:v>
                </c:pt>
                <c:pt idx="210">
                  <c:v>3.5000000000000003E-2</c:v>
                </c:pt>
                <c:pt idx="211">
                  <c:v>3.5000000000000003E-2</c:v>
                </c:pt>
                <c:pt idx="212">
                  <c:v>4.1000000000000002E-2</c:v>
                </c:pt>
                <c:pt idx="213">
                  <c:v>3.5000000000000003E-2</c:v>
                </c:pt>
                <c:pt idx="214">
                  <c:v>3.1E-2</c:v>
                </c:pt>
                <c:pt idx="215">
                  <c:v>2.5000000000000001E-2</c:v>
                </c:pt>
                <c:pt idx="216">
                  <c:v>3.2000000000000001E-2</c:v>
                </c:pt>
                <c:pt idx="217">
                  <c:v>4.2000000000000003E-2</c:v>
                </c:pt>
                <c:pt idx="218">
                  <c:v>4.4999999999999998E-2</c:v>
                </c:pt>
                <c:pt idx="219">
                  <c:v>4.4999999999999998E-2</c:v>
                </c:pt>
                <c:pt idx="220">
                  <c:v>3.7999999999999999E-2</c:v>
                </c:pt>
                <c:pt idx="221">
                  <c:v>2.1999999999999999E-2</c:v>
                </c:pt>
                <c:pt idx="222">
                  <c:v>2.1000000000000001E-2</c:v>
                </c:pt>
                <c:pt idx="223">
                  <c:v>2.1000000000000001E-2</c:v>
                </c:pt>
                <c:pt idx="224">
                  <c:v>4.4999999999999998E-2</c:v>
                </c:pt>
                <c:pt idx="225">
                  <c:v>4.1000000000000002E-2</c:v>
                </c:pt>
                <c:pt idx="226">
                  <c:v>0.03</c:v>
                </c:pt>
                <c:pt idx="227">
                  <c:v>2.5000000000000001E-2</c:v>
                </c:pt>
                <c:pt idx="228">
                  <c:v>2.1000000000000001E-2</c:v>
                </c:pt>
                <c:pt idx="229">
                  <c:v>2.5000000000000001E-2</c:v>
                </c:pt>
                <c:pt idx="230">
                  <c:v>1.7999999999999999E-2</c:v>
                </c:pt>
                <c:pt idx="231">
                  <c:v>1.7999999999999999E-2</c:v>
                </c:pt>
                <c:pt idx="232">
                  <c:v>1.2E-2</c:v>
                </c:pt>
                <c:pt idx="233">
                  <c:v>1.2E-2</c:v>
                </c:pt>
                <c:pt idx="234">
                  <c:v>2.5000000000000001E-2</c:v>
                </c:pt>
                <c:pt idx="235">
                  <c:v>2.1000000000000001E-2</c:v>
                </c:pt>
                <c:pt idx="236">
                  <c:v>2.5999999999999999E-2</c:v>
                </c:pt>
                <c:pt idx="237">
                  <c:v>3.1E-2</c:v>
                </c:pt>
                <c:pt idx="238">
                  <c:v>3.2000000000000001E-2</c:v>
                </c:pt>
                <c:pt idx="239">
                  <c:v>0.02</c:v>
                </c:pt>
                <c:pt idx="240">
                  <c:v>2.5999999999999999E-2</c:v>
                </c:pt>
                <c:pt idx="241">
                  <c:v>2.5999999999999999E-2</c:v>
                </c:pt>
                <c:pt idx="242">
                  <c:v>2.4E-2</c:v>
                </c:pt>
                <c:pt idx="243">
                  <c:v>2.3E-2</c:v>
                </c:pt>
                <c:pt idx="244">
                  <c:v>1.9E-2</c:v>
                </c:pt>
                <c:pt idx="245">
                  <c:v>2.1999999999999999E-2</c:v>
                </c:pt>
                <c:pt idx="246">
                  <c:v>1.4999999999999999E-2</c:v>
                </c:pt>
                <c:pt idx="247">
                  <c:v>1.4E-2</c:v>
                </c:pt>
                <c:pt idx="248">
                  <c:v>1.0999999999999999E-2</c:v>
                </c:pt>
                <c:pt idx="249">
                  <c:v>5.0000000000000001E-3</c:v>
                </c:pt>
                <c:pt idx="250">
                  <c:v>0.01</c:v>
                </c:pt>
                <c:pt idx="251">
                  <c:v>1.0999999999999999E-2</c:v>
                </c:pt>
                <c:pt idx="252">
                  <c:v>0.01</c:v>
                </c:pt>
                <c:pt idx="253">
                  <c:v>1.0999999999999999E-2</c:v>
                </c:pt>
                <c:pt idx="254">
                  <c:v>0.01</c:v>
                </c:pt>
                <c:pt idx="255">
                  <c:v>1.2E-2</c:v>
                </c:pt>
                <c:pt idx="256">
                  <c:v>1.7000000000000001E-2</c:v>
                </c:pt>
                <c:pt idx="257">
                  <c:v>0.02</c:v>
                </c:pt>
                <c:pt idx="258">
                  <c:v>2.5000000000000001E-2</c:v>
                </c:pt>
                <c:pt idx="259">
                  <c:v>2.5000000000000001E-2</c:v>
                </c:pt>
                <c:pt idx="260">
                  <c:v>2.1000000000000001E-2</c:v>
                </c:pt>
                <c:pt idx="261">
                  <c:v>2.1000000000000001E-2</c:v>
                </c:pt>
              </c:numCache>
            </c:numRef>
          </c:val>
          <c:smooth val="0"/>
          <c:extLst>
            <c:ext xmlns:c16="http://schemas.microsoft.com/office/drawing/2014/chart" uri="{C3380CC4-5D6E-409C-BE32-E72D297353CC}">
              <c16:uniqueId val="{00000004-F508-47B1-8F53-04F136B7E64C}"/>
            </c:ext>
          </c:extLst>
        </c:ser>
        <c:dLbls>
          <c:showLegendKey val="0"/>
          <c:showVal val="0"/>
          <c:showCatName val="0"/>
          <c:showSerName val="0"/>
          <c:showPercent val="0"/>
          <c:showBubbleSize val="0"/>
        </c:dLbls>
        <c:smooth val="0"/>
        <c:axId val="608252936"/>
        <c:axId val="608253720"/>
        <c:extLst/>
      </c:lineChart>
      <c:dateAx>
        <c:axId val="608252936"/>
        <c:scaling>
          <c:orientation val="minMax"/>
        </c:scaling>
        <c:delete val="0"/>
        <c:axPos val="b"/>
        <c:majorGridlines>
          <c:spPr>
            <a:ln w="9525" cap="flat" cmpd="sng" algn="ctr">
              <a:solidFill>
                <a:schemeClr val="tx1">
                  <a:lumMod val="15000"/>
                  <a:lumOff val="85000"/>
                </a:schemeClr>
              </a:solidFill>
              <a:round/>
            </a:ln>
            <a:effectLst/>
          </c:spPr>
        </c:majorGridlines>
        <c:numFmt formatCode="[$-409]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3720"/>
        <c:crosses val="autoZero"/>
        <c:auto val="1"/>
        <c:lblOffset val="100"/>
        <c:baseTimeUnit val="days"/>
        <c:majorUnit val="1"/>
        <c:majorTimeUnit val="months"/>
      </c:dateAx>
      <c:valAx>
        <c:axId val="60825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097787114319211E-2"/>
          <c:y val="1.8517540468845302E-2"/>
          <c:w val="0.9343132058273208"/>
          <c:h val="0.81056853737569978"/>
        </c:manualLayout>
      </c:layout>
      <c:lineChart>
        <c:grouping val="standard"/>
        <c:varyColors val="0"/>
        <c:ser>
          <c:idx val="5"/>
          <c:order val="0"/>
          <c:tx>
            <c:strRef>
              <c:f>'10 Year Bond Yield'!$G$1</c:f>
              <c:strCache>
                <c:ptCount val="1"/>
                <c:pt idx="0">
                  <c:v>India</c:v>
                </c:pt>
              </c:strCache>
            </c:strRef>
          </c:tx>
          <c:spPr>
            <a:ln w="28575" cap="rnd">
              <a:solidFill>
                <a:schemeClr val="accent6"/>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Yield'!$G$2350:$G$2611</c:f>
              <c:numCache>
                <c:formatCode>General</c:formatCode>
                <c:ptCount val="262"/>
                <c:pt idx="0">
                  <c:v>6.5049999999999999</c:v>
                </c:pt>
                <c:pt idx="1">
                  <c:v>6.5030000000000001</c:v>
                </c:pt>
                <c:pt idx="2">
                  <c:v>6.5149999999999997</c:v>
                </c:pt>
                <c:pt idx="3">
                  <c:v>6.5709999999999997</c:v>
                </c:pt>
                <c:pt idx="4">
                  <c:v>6.5540000000000003</c:v>
                </c:pt>
                <c:pt idx="5">
                  <c:v>6.5590000000000002</c:v>
                </c:pt>
                <c:pt idx="6">
                  <c:v>6.5309999999999997</c:v>
                </c:pt>
                <c:pt idx="7">
                  <c:v>6.5880000000000001</c:v>
                </c:pt>
                <c:pt idx="8">
                  <c:v>6.5979999999999999</c:v>
                </c:pt>
                <c:pt idx="9">
                  <c:v>6.6669999999999998</c:v>
                </c:pt>
                <c:pt idx="10">
                  <c:v>6.6269999999999998</c:v>
                </c:pt>
                <c:pt idx="11">
                  <c:v>6.6029999999999998</c:v>
                </c:pt>
                <c:pt idx="12">
                  <c:v>6.6260000000000003</c:v>
                </c:pt>
                <c:pt idx="13">
                  <c:v>6.6440000000000001</c:v>
                </c:pt>
                <c:pt idx="14">
                  <c:v>6.6370000000000005</c:v>
                </c:pt>
                <c:pt idx="15">
                  <c:v>6.6390000000000002</c:v>
                </c:pt>
                <c:pt idx="16">
                  <c:v>6.601</c:v>
                </c:pt>
                <c:pt idx="17">
                  <c:v>6.5819999999999999</c:v>
                </c:pt>
                <c:pt idx="18">
                  <c:v>6.556</c:v>
                </c:pt>
                <c:pt idx="19">
                  <c:v>6.58</c:v>
                </c:pt>
                <c:pt idx="20">
                  <c:v>6.5730000000000004</c:v>
                </c:pt>
                <c:pt idx="21">
                  <c:v>6.5579999999999998</c:v>
                </c:pt>
                <c:pt idx="22">
                  <c:v>6.601</c:v>
                </c:pt>
                <c:pt idx="23">
                  <c:v>6.5049999999999999</c:v>
                </c:pt>
                <c:pt idx="24">
                  <c:v>6.5049999999999999</c:v>
                </c:pt>
                <c:pt idx="25">
                  <c:v>6.508</c:v>
                </c:pt>
                <c:pt idx="26">
                  <c:v>6.4470000000000001</c:v>
                </c:pt>
                <c:pt idx="27">
                  <c:v>6.4409999999999998</c:v>
                </c:pt>
                <c:pt idx="28">
                  <c:v>6.4429999999999996</c:v>
                </c:pt>
                <c:pt idx="29">
                  <c:v>6.4669999999999996</c:v>
                </c:pt>
                <c:pt idx="30">
                  <c:v>6.476</c:v>
                </c:pt>
                <c:pt idx="31">
                  <c:v>6.4260000000000002</c:v>
                </c:pt>
                <c:pt idx="32">
                  <c:v>6.3710000000000004</c:v>
                </c:pt>
                <c:pt idx="33">
                  <c:v>6.39</c:v>
                </c:pt>
                <c:pt idx="34">
                  <c:v>6.3870000000000005</c:v>
                </c:pt>
                <c:pt idx="35">
                  <c:v>6.3870000000000005</c:v>
                </c:pt>
                <c:pt idx="36">
                  <c:v>6.423</c:v>
                </c:pt>
                <c:pt idx="37">
                  <c:v>6.423</c:v>
                </c:pt>
                <c:pt idx="38">
                  <c:v>6.3689999999999998</c:v>
                </c:pt>
                <c:pt idx="39">
                  <c:v>6.3310000000000004</c:v>
                </c:pt>
                <c:pt idx="40">
                  <c:v>6.3460000000000001</c:v>
                </c:pt>
                <c:pt idx="41">
                  <c:v>6.3769999999999998</c:v>
                </c:pt>
                <c:pt idx="42">
                  <c:v>6.3710000000000004</c:v>
                </c:pt>
                <c:pt idx="43">
                  <c:v>6.3490000000000002</c:v>
                </c:pt>
                <c:pt idx="44">
                  <c:v>6.343</c:v>
                </c:pt>
                <c:pt idx="45">
                  <c:v>6.2270000000000003</c:v>
                </c:pt>
                <c:pt idx="46">
                  <c:v>6.2370000000000001</c:v>
                </c:pt>
                <c:pt idx="47">
                  <c:v>6.1829999999999998</c:v>
                </c:pt>
                <c:pt idx="48">
                  <c:v>6.0650000000000004</c:v>
                </c:pt>
                <c:pt idx="49">
                  <c:v>6.0650000000000004</c:v>
                </c:pt>
                <c:pt idx="50">
                  <c:v>6.125</c:v>
                </c:pt>
                <c:pt idx="51">
                  <c:v>6.2359999999999998</c:v>
                </c:pt>
                <c:pt idx="52">
                  <c:v>6.3220000000000001</c:v>
                </c:pt>
                <c:pt idx="53">
                  <c:v>6.2080000000000002</c:v>
                </c:pt>
                <c:pt idx="54">
                  <c:v>6.2640000000000002</c:v>
                </c:pt>
                <c:pt idx="55">
                  <c:v>6.2960000000000003</c:v>
                </c:pt>
                <c:pt idx="56">
                  <c:v>6.41</c:v>
                </c:pt>
                <c:pt idx="57">
                  <c:v>6.2590000000000003</c:v>
                </c:pt>
                <c:pt idx="58">
                  <c:v>6.38</c:v>
                </c:pt>
                <c:pt idx="59">
                  <c:v>6.3040000000000003</c:v>
                </c:pt>
                <c:pt idx="60">
                  <c:v>6.3040000000000003</c:v>
                </c:pt>
                <c:pt idx="61">
                  <c:v>6.2229999999999999</c:v>
                </c:pt>
                <c:pt idx="62">
                  <c:v>6.141</c:v>
                </c:pt>
                <c:pt idx="63">
                  <c:v>6.2089999999999996</c:v>
                </c:pt>
                <c:pt idx="64">
                  <c:v>6.1379999999999999</c:v>
                </c:pt>
                <c:pt idx="65">
                  <c:v>6.1379999999999999</c:v>
                </c:pt>
                <c:pt idx="66">
                  <c:v>6.1379999999999999</c:v>
                </c:pt>
                <c:pt idx="67">
                  <c:v>6.3049999999999997</c:v>
                </c:pt>
                <c:pt idx="68">
                  <c:v>6.3049999999999997</c:v>
                </c:pt>
                <c:pt idx="69">
                  <c:v>6.415</c:v>
                </c:pt>
                <c:pt idx="70">
                  <c:v>6.4409999999999998</c:v>
                </c:pt>
                <c:pt idx="71">
                  <c:v>6.49</c:v>
                </c:pt>
                <c:pt idx="72">
                  <c:v>6.49</c:v>
                </c:pt>
                <c:pt idx="73">
                  <c:v>6.4950000000000001</c:v>
                </c:pt>
                <c:pt idx="74">
                  <c:v>6.4950000000000001</c:v>
                </c:pt>
                <c:pt idx="75">
                  <c:v>6.4249999999999998</c:v>
                </c:pt>
                <c:pt idx="76">
                  <c:v>6.44</c:v>
                </c:pt>
                <c:pt idx="77">
                  <c:v>6.3469999999999995</c:v>
                </c:pt>
                <c:pt idx="78">
                  <c:v>6.2089999999999996</c:v>
                </c:pt>
                <c:pt idx="79">
                  <c:v>6.2080000000000002</c:v>
                </c:pt>
                <c:pt idx="80">
                  <c:v>6.2229999999999999</c:v>
                </c:pt>
                <c:pt idx="81">
                  <c:v>6.0519999999999996</c:v>
                </c:pt>
                <c:pt idx="82">
                  <c:v>6.1669999999999998</c:v>
                </c:pt>
                <c:pt idx="83">
                  <c:v>6.1470000000000002</c:v>
                </c:pt>
                <c:pt idx="84">
                  <c:v>6.1319999999999997</c:v>
                </c:pt>
                <c:pt idx="85">
                  <c:v>6.1219999999999999</c:v>
                </c:pt>
                <c:pt idx="86">
                  <c:v>6.1079999999999997</c:v>
                </c:pt>
                <c:pt idx="87">
                  <c:v>6.1079999999999997</c:v>
                </c:pt>
                <c:pt idx="88">
                  <c:v>6.0830000000000002</c:v>
                </c:pt>
                <c:pt idx="89">
                  <c:v>6.0739999999999998</c:v>
                </c:pt>
                <c:pt idx="90">
                  <c:v>6.0270000000000001</c:v>
                </c:pt>
                <c:pt idx="91">
                  <c:v>6.0270000000000001</c:v>
                </c:pt>
                <c:pt idx="92">
                  <c:v>5.9710000000000001</c:v>
                </c:pt>
                <c:pt idx="93">
                  <c:v>6.1669999999999998</c:v>
                </c:pt>
                <c:pt idx="94">
                  <c:v>6.1660000000000004</c:v>
                </c:pt>
                <c:pt idx="95">
                  <c:v>5.7990000000000004</c:v>
                </c:pt>
                <c:pt idx="96">
                  <c:v>5.78</c:v>
                </c:pt>
                <c:pt idx="97">
                  <c:v>5.78</c:v>
                </c:pt>
                <c:pt idx="98">
                  <c:v>5.774</c:v>
                </c:pt>
                <c:pt idx="99">
                  <c:v>5.7750000000000004</c:v>
                </c:pt>
                <c:pt idx="100">
                  <c:v>5.782</c:v>
                </c:pt>
                <c:pt idx="101">
                  <c:v>5.7770000000000001</c:v>
                </c:pt>
                <c:pt idx="102">
                  <c:v>5.7530000000000001</c:v>
                </c:pt>
                <c:pt idx="103">
                  <c:v>5.7530000000000001</c:v>
                </c:pt>
                <c:pt idx="104">
                  <c:v>5.7519999999999998</c:v>
                </c:pt>
                <c:pt idx="105">
                  <c:v>5.7560000000000002</c:v>
                </c:pt>
                <c:pt idx="106">
                  <c:v>5.75</c:v>
                </c:pt>
                <c:pt idx="107">
                  <c:v>5.7620000000000005</c:v>
                </c:pt>
                <c:pt idx="108">
                  <c:v>5.7770000000000001</c:v>
                </c:pt>
                <c:pt idx="109">
                  <c:v>5.76</c:v>
                </c:pt>
                <c:pt idx="110">
                  <c:v>5.77</c:v>
                </c:pt>
                <c:pt idx="111">
                  <c:v>5.7590000000000003</c:v>
                </c:pt>
                <c:pt idx="112">
                  <c:v>5.766</c:v>
                </c:pt>
                <c:pt idx="113">
                  <c:v>5.8090000000000002</c:v>
                </c:pt>
                <c:pt idx="114">
                  <c:v>5.7759999999999998</c:v>
                </c:pt>
                <c:pt idx="115">
                  <c:v>5.7709999999999999</c:v>
                </c:pt>
                <c:pt idx="116">
                  <c:v>5.7830000000000004</c:v>
                </c:pt>
                <c:pt idx="117">
                  <c:v>5.7969999999999997</c:v>
                </c:pt>
                <c:pt idx="118">
                  <c:v>5.7930000000000001</c:v>
                </c:pt>
                <c:pt idx="119">
                  <c:v>5.8469999999999995</c:v>
                </c:pt>
                <c:pt idx="120">
                  <c:v>5.8360000000000003</c:v>
                </c:pt>
                <c:pt idx="121">
                  <c:v>5.82</c:v>
                </c:pt>
                <c:pt idx="122">
                  <c:v>5.851</c:v>
                </c:pt>
                <c:pt idx="123">
                  <c:v>5.8780000000000001</c:v>
                </c:pt>
                <c:pt idx="124">
                  <c:v>5.9039999999999999</c:v>
                </c:pt>
                <c:pt idx="125">
                  <c:v>5.9180000000000001</c:v>
                </c:pt>
                <c:pt idx="126">
                  <c:v>5.8920000000000003</c:v>
                </c:pt>
                <c:pt idx="127">
                  <c:v>5.9160000000000004</c:v>
                </c:pt>
                <c:pt idx="128">
                  <c:v>5.9039999999999999</c:v>
                </c:pt>
                <c:pt idx="129">
                  <c:v>5.8860000000000001</c:v>
                </c:pt>
                <c:pt idx="130">
                  <c:v>5.8390000000000004</c:v>
                </c:pt>
                <c:pt idx="131">
                  <c:v>5.8410000000000002</c:v>
                </c:pt>
                <c:pt idx="132">
                  <c:v>5.8460000000000001</c:v>
                </c:pt>
                <c:pt idx="133">
                  <c:v>5.835</c:v>
                </c:pt>
                <c:pt idx="134">
                  <c:v>5.7930000000000001</c:v>
                </c:pt>
                <c:pt idx="135">
                  <c:v>5.7780000000000005</c:v>
                </c:pt>
                <c:pt idx="136">
                  <c:v>5.7729999999999997</c:v>
                </c:pt>
                <c:pt idx="137">
                  <c:v>5.758</c:v>
                </c:pt>
                <c:pt idx="138">
                  <c:v>5.7869999999999999</c:v>
                </c:pt>
                <c:pt idx="139">
                  <c:v>5.8259999999999996</c:v>
                </c:pt>
                <c:pt idx="140">
                  <c:v>5.8129999999999997</c:v>
                </c:pt>
                <c:pt idx="141">
                  <c:v>5.8140000000000001</c:v>
                </c:pt>
                <c:pt idx="142">
                  <c:v>5.8049999999999997</c:v>
                </c:pt>
                <c:pt idx="143">
                  <c:v>5.7990000000000004</c:v>
                </c:pt>
                <c:pt idx="144">
                  <c:v>5.83</c:v>
                </c:pt>
                <c:pt idx="145">
                  <c:v>5.8140000000000001</c:v>
                </c:pt>
                <c:pt idx="146">
                  <c:v>5.8070000000000004</c:v>
                </c:pt>
                <c:pt idx="147">
                  <c:v>5.8250000000000002</c:v>
                </c:pt>
                <c:pt idx="148">
                  <c:v>5.8559999999999999</c:v>
                </c:pt>
                <c:pt idx="149">
                  <c:v>5.85</c:v>
                </c:pt>
                <c:pt idx="150">
                  <c:v>5.835</c:v>
                </c:pt>
                <c:pt idx="151">
                  <c:v>5.8250000000000002</c:v>
                </c:pt>
                <c:pt idx="152">
                  <c:v>5.8380000000000001</c:v>
                </c:pt>
                <c:pt idx="153">
                  <c:v>5.8369999999999997</c:v>
                </c:pt>
                <c:pt idx="154">
                  <c:v>5.774</c:v>
                </c:pt>
                <c:pt idx="155">
                  <c:v>5.7649999999999997</c:v>
                </c:pt>
                <c:pt idx="156">
                  <c:v>5.8100000000000005</c:v>
                </c:pt>
                <c:pt idx="157">
                  <c:v>5.8390000000000004</c:v>
                </c:pt>
                <c:pt idx="158">
                  <c:v>5.8550000000000004</c:v>
                </c:pt>
                <c:pt idx="159">
                  <c:v>5.8650000000000002</c:v>
                </c:pt>
                <c:pt idx="160">
                  <c:v>5.85</c:v>
                </c:pt>
                <c:pt idx="161">
                  <c:v>5.8659999999999997</c:v>
                </c:pt>
                <c:pt idx="162">
                  <c:v>5.95</c:v>
                </c:pt>
                <c:pt idx="163">
                  <c:v>5.9509999999999996</c:v>
                </c:pt>
                <c:pt idx="164">
                  <c:v>5.9580000000000002</c:v>
                </c:pt>
                <c:pt idx="165">
                  <c:v>5.9690000000000003</c:v>
                </c:pt>
                <c:pt idx="166">
                  <c:v>5.9470000000000001</c:v>
                </c:pt>
                <c:pt idx="167">
                  <c:v>6.0880000000000001</c:v>
                </c:pt>
                <c:pt idx="168">
                  <c:v>6.165</c:v>
                </c:pt>
                <c:pt idx="169">
                  <c:v>6.1289999999999996</c:v>
                </c:pt>
                <c:pt idx="170">
                  <c:v>6.1920000000000002</c:v>
                </c:pt>
                <c:pt idx="171">
                  <c:v>6.1529999999999996</c:v>
                </c:pt>
                <c:pt idx="172">
                  <c:v>6.1429999999999998</c:v>
                </c:pt>
                <c:pt idx="173">
                  <c:v>6.117</c:v>
                </c:pt>
                <c:pt idx="174">
                  <c:v>5.9420000000000002</c:v>
                </c:pt>
                <c:pt idx="175">
                  <c:v>5.9190000000000005</c:v>
                </c:pt>
                <c:pt idx="176">
                  <c:v>5.8979999999999997</c:v>
                </c:pt>
                <c:pt idx="177">
                  <c:v>5.931</c:v>
                </c:pt>
                <c:pt idx="178">
                  <c:v>5.9939999999999998</c:v>
                </c:pt>
                <c:pt idx="179">
                  <c:v>6.0570000000000004</c:v>
                </c:pt>
                <c:pt idx="180">
                  <c:v>5.99</c:v>
                </c:pt>
                <c:pt idx="181">
                  <c:v>6.0529999999999999</c:v>
                </c:pt>
                <c:pt idx="182">
                  <c:v>6.0410000000000004</c:v>
                </c:pt>
                <c:pt idx="183">
                  <c:v>6.032</c:v>
                </c:pt>
                <c:pt idx="184">
                  <c:v>6.03</c:v>
                </c:pt>
                <c:pt idx="185">
                  <c:v>5.9930000000000003</c:v>
                </c:pt>
                <c:pt idx="186">
                  <c:v>6.0330000000000004</c:v>
                </c:pt>
                <c:pt idx="187">
                  <c:v>6.0149999999999997</c:v>
                </c:pt>
                <c:pt idx="188">
                  <c:v>6.016</c:v>
                </c:pt>
                <c:pt idx="189">
                  <c:v>6.0110000000000001</c:v>
                </c:pt>
                <c:pt idx="190">
                  <c:v>5.99</c:v>
                </c:pt>
                <c:pt idx="191">
                  <c:v>5.9939999999999998</c:v>
                </c:pt>
                <c:pt idx="192">
                  <c:v>6.04</c:v>
                </c:pt>
                <c:pt idx="193">
                  <c:v>6.0570000000000004</c:v>
                </c:pt>
                <c:pt idx="194">
                  <c:v>6.0369999999999999</c:v>
                </c:pt>
                <c:pt idx="195">
                  <c:v>6.0110000000000001</c:v>
                </c:pt>
                <c:pt idx="196">
                  <c:v>5.9960000000000004</c:v>
                </c:pt>
                <c:pt idx="197">
                  <c:v>5.9960000000000004</c:v>
                </c:pt>
                <c:pt idx="198">
                  <c:v>6.0039999999999996</c:v>
                </c:pt>
                <c:pt idx="199">
                  <c:v>6.0250000000000004</c:v>
                </c:pt>
                <c:pt idx="200">
                  <c:v>6.0140000000000002</c:v>
                </c:pt>
                <c:pt idx="201">
                  <c:v>6.0149999999999997</c:v>
                </c:pt>
                <c:pt idx="202">
                  <c:v>5.9370000000000003</c:v>
                </c:pt>
                <c:pt idx="203">
                  <c:v>5.8979999999999997</c:v>
                </c:pt>
                <c:pt idx="204">
                  <c:v>5.9039999999999999</c:v>
                </c:pt>
                <c:pt idx="205">
                  <c:v>5.9030000000000005</c:v>
                </c:pt>
                <c:pt idx="206">
                  <c:v>5.8979999999999997</c:v>
                </c:pt>
                <c:pt idx="207">
                  <c:v>5.9350000000000005</c:v>
                </c:pt>
                <c:pt idx="208">
                  <c:v>5.9399999999999995</c:v>
                </c:pt>
                <c:pt idx="209">
                  <c:v>5.9320000000000004</c:v>
                </c:pt>
                <c:pt idx="210">
                  <c:v>5.9119999999999999</c:v>
                </c:pt>
                <c:pt idx="211">
                  <c:v>5.9139999999999997</c:v>
                </c:pt>
                <c:pt idx="212">
                  <c:v>5.843</c:v>
                </c:pt>
                <c:pt idx="213">
                  <c:v>5.8360000000000003</c:v>
                </c:pt>
                <c:pt idx="214">
                  <c:v>5.8479999999999999</c:v>
                </c:pt>
                <c:pt idx="215">
                  <c:v>5.8579999999999997</c:v>
                </c:pt>
                <c:pt idx="216">
                  <c:v>5.883</c:v>
                </c:pt>
                <c:pt idx="217">
                  <c:v>5.883</c:v>
                </c:pt>
                <c:pt idx="218">
                  <c:v>5.891</c:v>
                </c:pt>
                <c:pt idx="219">
                  <c:v>5.8979999999999997</c:v>
                </c:pt>
                <c:pt idx="220">
                  <c:v>5.8860000000000001</c:v>
                </c:pt>
                <c:pt idx="221">
                  <c:v>5.8609999999999998</c:v>
                </c:pt>
                <c:pt idx="222">
                  <c:v>5.8719999999999999</c:v>
                </c:pt>
                <c:pt idx="223">
                  <c:v>5.8780000000000001</c:v>
                </c:pt>
                <c:pt idx="224">
                  <c:v>5.9160000000000004</c:v>
                </c:pt>
                <c:pt idx="225">
                  <c:v>5.9080000000000004</c:v>
                </c:pt>
                <c:pt idx="226">
                  <c:v>5.9050000000000002</c:v>
                </c:pt>
                <c:pt idx="227">
                  <c:v>5.88</c:v>
                </c:pt>
                <c:pt idx="228">
                  <c:v>5.88</c:v>
                </c:pt>
                <c:pt idx="229">
                  <c:v>5.8769999999999998</c:v>
                </c:pt>
                <c:pt idx="230">
                  <c:v>5.8780000000000001</c:v>
                </c:pt>
                <c:pt idx="231">
                  <c:v>5.8760000000000003</c:v>
                </c:pt>
                <c:pt idx="232">
                  <c:v>5.8789999999999996</c:v>
                </c:pt>
                <c:pt idx="233">
                  <c:v>5.9009999999999998</c:v>
                </c:pt>
                <c:pt idx="234">
                  <c:v>5.8819999999999997</c:v>
                </c:pt>
                <c:pt idx="235">
                  <c:v>5.8849999999999998</c:v>
                </c:pt>
                <c:pt idx="236">
                  <c:v>5.8719999999999999</c:v>
                </c:pt>
                <c:pt idx="237">
                  <c:v>5.9109999999999996</c:v>
                </c:pt>
                <c:pt idx="238">
                  <c:v>5.9109999999999996</c:v>
                </c:pt>
                <c:pt idx="239">
                  <c:v>5.8469999999999995</c:v>
                </c:pt>
                <c:pt idx="240">
                  <c:v>5.8410000000000002</c:v>
                </c:pt>
                <c:pt idx="241">
                  <c:v>5.8460000000000001</c:v>
                </c:pt>
                <c:pt idx="242">
                  <c:v>5.8220000000000001</c:v>
                </c:pt>
                <c:pt idx="243">
                  <c:v>5.8419999999999996</c:v>
                </c:pt>
                <c:pt idx="244">
                  <c:v>5.8559999999999999</c:v>
                </c:pt>
                <c:pt idx="245">
                  <c:v>5.8339999999999996</c:v>
                </c:pt>
                <c:pt idx="246">
                  <c:v>5.8479999999999999</c:v>
                </c:pt>
                <c:pt idx="247">
                  <c:v>5.8979999999999997</c:v>
                </c:pt>
                <c:pt idx="248">
                  <c:v>5.8870000000000005</c:v>
                </c:pt>
                <c:pt idx="249">
                  <c:v>5.8870000000000005</c:v>
                </c:pt>
                <c:pt idx="250">
                  <c:v>5.89</c:v>
                </c:pt>
                <c:pt idx="251">
                  <c:v>5.8920000000000003</c:v>
                </c:pt>
                <c:pt idx="252">
                  <c:v>5.9080000000000004</c:v>
                </c:pt>
                <c:pt idx="253">
                  <c:v>5.9190000000000005</c:v>
                </c:pt>
                <c:pt idx="254">
                  <c:v>5.9109999999999996</c:v>
                </c:pt>
                <c:pt idx="255">
                  <c:v>5.9109999999999996</c:v>
                </c:pt>
                <c:pt idx="256">
                  <c:v>5.8860000000000001</c:v>
                </c:pt>
                <c:pt idx="257">
                  <c:v>5.8860000000000001</c:v>
                </c:pt>
                <c:pt idx="258">
                  <c:v>5.88</c:v>
                </c:pt>
                <c:pt idx="259">
                  <c:v>5.8870000000000005</c:v>
                </c:pt>
                <c:pt idx="260">
                  <c:v>5.8689999999999998</c:v>
                </c:pt>
                <c:pt idx="261">
                  <c:v>5.8650000000000002</c:v>
                </c:pt>
              </c:numCache>
            </c:numRef>
          </c:val>
          <c:smooth val="0"/>
          <c:extLst>
            <c:ext xmlns:c16="http://schemas.microsoft.com/office/drawing/2014/chart" uri="{C3380CC4-5D6E-409C-BE32-E72D297353CC}">
              <c16:uniqueId val="{00000000-D95E-489D-AD08-E0C189E28758}"/>
            </c:ext>
          </c:extLst>
        </c:ser>
        <c:ser>
          <c:idx val="6"/>
          <c:order val="1"/>
          <c:tx>
            <c:strRef>
              <c:f>'10 Year Bond Yield'!$H$1</c:f>
              <c:strCache>
                <c:ptCount val="1"/>
                <c:pt idx="0">
                  <c:v>China</c:v>
                </c:pt>
              </c:strCache>
            </c:strRef>
          </c:tx>
          <c:spPr>
            <a:ln w="28575" cap="rnd">
              <a:solidFill>
                <a:schemeClr val="accent1">
                  <a:lumMod val="60000"/>
                </a:schemeClr>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Yield'!$H$2350:$H$2611</c:f>
              <c:numCache>
                <c:formatCode>General</c:formatCode>
                <c:ptCount val="262"/>
                <c:pt idx="0">
                  <c:v>3.1440000000000001</c:v>
                </c:pt>
                <c:pt idx="1">
                  <c:v>3.1440000000000001</c:v>
                </c:pt>
                <c:pt idx="2">
                  <c:v>3.1459999999999999</c:v>
                </c:pt>
                <c:pt idx="3">
                  <c:v>3.1339999999999999</c:v>
                </c:pt>
                <c:pt idx="4">
                  <c:v>3.1419999999999999</c:v>
                </c:pt>
                <c:pt idx="5">
                  <c:v>3.1379999999999999</c:v>
                </c:pt>
                <c:pt idx="6">
                  <c:v>3.1219999999999999</c:v>
                </c:pt>
                <c:pt idx="7">
                  <c:v>3.08</c:v>
                </c:pt>
                <c:pt idx="8">
                  <c:v>3.0939999999999999</c:v>
                </c:pt>
                <c:pt idx="9">
                  <c:v>3.1040000000000001</c:v>
                </c:pt>
                <c:pt idx="10">
                  <c:v>3.0910000000000002</c:v>
                </c:pt>
                <c:pt idx="11">
                  <c:v>3.0950000000000002</c:v>
                </c:pt>
                <c:pt idx="12">
                  <c:v>3.0880000000000001</c:v>
                </c:pt>
                <c:pt idx="13">
                  <c:v>3.0569999999999999</c:v>
                </c:pt>
                <c:pt idx="14">
                  <c:v>3.044</c:v>
                </c:pt>
                <c:pt idx="15">
                  <c:v>3.028</c:v>
                </c:pt>
                <c:pt idx="16">
                  <c:v>3.0030000000000001</c:v>
                </c:pt>
                <c:pt idx="17">
                  <c:v>3.0030000000000001</c:v>
                </c:pt>
                <c:pt idx="18">
                  <c:v>3.0030000000000001</c:v>
                </c:pt>
                <c:pt idx="19">
                  <c:v>3.0030000000000001</c:v>
                </c:pt>
                <c:pt idx="20">
                  <c:v>3.0030000000000001</c:v>
                </c:pt>
                <c:pt idx="21">
                  <c:v>3.0030000000000001</c:v>
                </c:pt>
                <c:pt idx="22">
                  <c:v>3.0030000000000001</c:v>
                </c:pt>
                <c:pt idx="23">
                  <c:v>3.0030000000000001</c:v>
                </c:pt>
                <c:pt idx="24">
                  <c:v>2.8660000000000001</c:v>
                </c:pt>
                <c:pt idx="25">
                  <c:v>2.8689999999999998</c:v>
                </c:pt>
                <c:pt idx="26">
                  <c:v>2.8369999999999997</c:v>
                </c:pt>
                <c:pt idx="27">
                  <c:v>2.806</c:v>
                </c:pt>
                <c:pt idx="28">
                  <c:v>2.7919999999999998</c:v>
                </c:pt>
                <c:pt idx="29">
                  <c:v>2.8330000000000002</c:v>
                </c:pt>
                <c:pt idx="30">
                  <c:v>2.8359999999999999</c:v>
                </c:pt>
                <c:pt idx="31">
                  <c:v>2.827</c:v>
                </c:pt>
                <c:pt idx="32">
                  <c:v>2.8660000000000001</c:v>
                </c:pt>
                <c:pt idx="33">
                  <c:v>2.8929999999999998</c:v>
                </c:pt>
                <c:pt idx="34">
                  <c:v>2.8810000000000002</c:v>
                </c:pt>
                <c:pt idx="35">
                  <c:v>2.8849999999999998</c:v>
                </c:pt>
                <c:pt idx="36">
                  <c:v>2.8839999999999999</c:v>
                </c:pt>
                <c:pt idx="37">
                  <c:v>2.859</c:v>
                </c:pt>
                <c:pt idx="38">
                  <c:v>2.8140000000000001</c:v>
                </c:pt>
                <c:pt idx="39">
                  <c:v>2.82</c:v>
                </c:pt>
                <c:pt idx="40">
                  <c:v>2.8</c:v>
                </c:pt>
                <c:pt idx="41">
                  <c:v>2.7829999999999999</c:v>
                </c:pt>
                <c:pt idx="42">
                  <c:v>2.7330000000000001</c:v>
                </c:pt>
                <c:pt idx="43">
                  <c:v>2.7450000000000001</c:v>
                </c:pt>
                <c:pt idx="44">
                  <c:v>2.7629999999999999</c:v>
                </c:pt>
                <c:pt idx="45">
                  <c:v>2.6859999999999999</c:v>
                </c:pt>
                <c:pt idx="46">
                  <c:v>2.6850000000000001</c:v>
                </c:pt>
                <c:pt idx="47">
                  <c:v>2.6259999999999999</c:v>
                </c:pt>
                <c:pt idx="48">
                  <c:v>2.5329999999999999</c:v>
                </c:pt>
                <c:pt idx="49">
                  <c:v>2.6150000000000002</c:v>
                </c:pt>
                <c:pt idx="50">
                  <c:v>2.64</c:v>
                </c:pt>
                <c:pt idx="51">
                  <c:v>2.629</c:v>
                </c:pt>
                <c:pt idx="52">
                  <c:v>2.6859999999999999</c:v>
                </c:pt>
                <c:pt idx="53">
                  <c:v>2.6739999999999999</c:v>
                </c:pt>
                <c:pt idx="54">
                  <c:v>2.7199999999999998</c:v>
                </c:pt>
                <c:pt idx="55">
                  <c:v>2.7210000000000001</c:v>
                </c:pt>
                <c:pt idx="56">
                  <c:v>2.7359999999999998</c:v>
                </c:pt>
                <c:pt idx="57">
                  <c:v>2.6859999999999999</c:v>
                </c:pt>
                <c:pt idx="58">
                  <c:v>2.6269999999999998</c:v>
                </c:pt>
                <c:pt idx="59">
                  <c:v>2.6339999999999999</c:v>
                </c:pt>
                <c:pt idx="60">
                  <c:v>2.6280000000000001</c:v>
                </c:pt>
                <c:pt idx="61">
                  <c:v>2.5920000000000001</c:v>
                </c:pt>
                <c:pt idx="62">
                  <c:v>2.6019999999999999</c:v>
                </c:pt>
                <c:pt idx="63">
                  <c:v>2.6189999999999998</c:v>
                </c:pt>
                <c:pt idx="64">
                  <c:v>2.5859999999999999</c:v>
                </c:pt>
                <c:pt idx="65">
                  <c:v>2.5540000000000003</c:v>
                </c:pt>
                <c:pt idx="66">
                  <c:v>2.6</c:v>
                </c:pt>
                <c:pt idx="67">
                  <c:v>2.5550000000000002</c:v>
                </c:pt>
                <c:pt idx="68">
                  <c:v>2.5550000000000002</c:v>
                </c:pt>
                <c:pt idx="69">
                  <c:v>2.5070000000000001</c:v>
                </c:pt>
                <c:pt idx="70">
                  <c:v>2.4769999999999999</c:v>
                </c:pt>
                <c:pt idx="71">
                  <c:v>2.5249999999999999</c:v>
                </c:pt>
                <c:pt idx="72">
                  <c:v>2.5419999999999998</c:v>
                </c:pt>
                <c:pt idx="73">
                  <c:v>2.5579999999999998</c:v>
                </c:pt>
                <c:pt idx="74">
                  <c:v>2.5510000000000002</c:v>
                </c:pt>
                <c:pt idx="75">
                  <c:v>2.532</c:v>
                </c:pt>
                <c:pt idx="76">
                  <c:v>2.5110000000000001</c:v>
                </c:pt>
                <c:pt idx="77">
                  <c:v>2.5510000000000002</c:v>
                </c:pt>
                <c:pt idx="78">
                  <c:v>2.5840000000000001</c:v>
                </c:pt>
                <c:pt idx="79">
                  <c:v>2.5709999999999997</c:v>
                </c:pt>
                <c:pt idx="80">
                  <c:v>2.5460000000000003</c:v>
                </c:pt>
                <c:pt idx="81">
                  <c:v>2.508</c:v>
                </c:pt>
                <c:pt idx="82">
                  <c:v>2.4889999999999999</c:v>
                </c:pt>
                <c:pt idx="83">
                  <c:v>2.5099999999999998</c:v>
                </c:pt>
                <c:pt idx="84">
                  <c:v>2.504</c:v>
                </c:pt>
                <c:pt idx="85">
                  <c:v>2.484</c:v>
                </c:pt>
                <c:pt idx="86">
                  <c:v>2.516</c:v>
                </c:pt>
                <c:pt idx="87">
                  <c:v>2.516</c:v>
                </c:pt>
                <c:pt idx="88">
                  <c:v>2.516</c:v>
                </c:pt>
                <c:pt idx="89">
                  <c:v>2.516</c:v>
                </c:pt>
                <c:pt idx="90">
                  <c:v>2.5670000000000002</c:v>
                </c:pt>
                <c:pt idx="91">
                  <c:v>2.617</c:v>
                </c:pt>
                <c:pt idx="92">
                  <c:v>2.6109999999999998</c:v>
                </c:pt>
                <c:pt idx="93">
                  <c:v>2.6459999999999999</c:v>
                </c:pt>
                <c:pt idx="94">
                  <c:v>2.645</c:v>
                </c:pt>
                <c:pt idx="95">
                  <c:v>2.6829999999999998</c:v>
                </c:pt>
                <c:pt idx="96">
                  <c:v>2.6859999999999999</c:v>
                </c:pt>
                <c:pt idx="97">
                  <c:v>2.6589999999999998</c:v>
                </c:pt>
                <c:pt idx="98">
                  <c:v>2.7199999999999998</c:v>
                </c:pt>
                <c:pt idx="99">
                  <c:v>2.7410000000000001</c:v>
                </c:pt>
                <c:pt idx="100">
                  <c:v>2.673</c:v>
                </c:pt>
                <c:pt idx="101">
                  <c:v>2.6619999999999999</c:v>
                </c:pt>
                <c:pt idx="102">
                  <c:v>2.5830000000000002</c:v>
                </c:pt>
                <c:pt idx="103">
                  <c:v>2.6589999999999998</c:v>
                </c:pt>
                <c:pt idx="104">
                  <c:v>2.702</c:v>
                </c:pt>
                <c:pt idx="105">
                  <c:v>2.7240000000000002</c:v>
                </c:pt>
                <c:pt idx="106">
                  <c:v>2.6920000000000002</c:v>
                </c:pt>
                <c:pt idx="107">
                  <c:v>2.6930000000000001</c:v>
                </c:pt>
                <c:pt idx="108">
                  <c:v>2.7359999999999998</c:v>
                </c:pt>
                <c:pt idx="109">
                  <c:v>2.8129999999999997</c:v>
                </c:pt>
                <c:pt idx="110">
                  <c:v>2.7930000000000001</c:v>
                </c:pt>
                <c:pt idx="111">
                  <c:v>2.835</c:v>
                </c:pt>
                <c:pt idx="112">
                  <c:v>2.8580000000000001</c:v>
                </c:pt>
                <c:pt idx="113">
                  <c:v>2.8209999999999997</c:v>
                </c:pt>
                <c:pt idx="114">
                  <c:v>2.82</c:v>
                </c:pt>
                <c:pt idx="115">
                  <c:v>2.8250000000000002</c:v>
                </c:pt>
                <c:pt idx="116">
                  <c:v>2.7709999999999999</c:v>
                </c:pt>
                <c:pt idx="117">
                  <c:v>2.76</c:v>
                </c:pt>
                <c:pt idx="118">
                  <c:v>2.81</c:v>
                </c:pt>
                <c:pt idx="119">
                  <c:v>2.8570000000000002</c:v>
                </c:pt>
                <c:pt idx="120">
                  <c:v>2.883</c:v>
                </c:pt>
                <c:pt idx="121">
                  <c:v>2.86</c:v>
                </c:pt>
                <c:pt idx="122">
                  <c:v>2.8810000000000002</c:v>
                </c:pt>
                <c:pt idx="123">
                  <c:v>2.92</c:v>
                </c:pt>
                <c:pt idx="124">
                  <c:v>2.9140000000000001</c:v>
                </c:pt>
                <c:pt idx="125">
                  <c:v>2.8719999999999999</c:v>
                </c:pt>
                <c:pt idx="126">
                  <c:v>2.8719999999999999</c:v>
                </c:pt>
                <c:pt idx="127">
                  <c:v>2.8719999999999999</c:v>
                </c:pt>
                <c:pt idx="128">
                  <c:v>2.8570000000000002</c:v>
                </c:pt>
                <c:pt idx="129">
                  <c:v>2.851</c:v>
                </c:pt>
                <c:pt idx="130">
                  <c:v>2.8490000000000002</c:v>
                </c:pt>
                <c:pt idx="131">
                  <c:v>2.8639999999999999</c:v>
                </c:pt>
                <c:pt idx="132">
                  <c:v>2.9020000000000001</c:v>
                </c:pt>
                <c:pt idx="133">
                  <c:v>3.032</c:v>
                </c:pt>
                <c:pt idx="134">
                  <c:v>3.0339999999999998</c:v>
                </c:pt>
                <c:pt idx="135">
                  <c:v>3.0649999999999999</c:v>
                </c:pt>
                <c:pt idx="136">
                  <c:v>3.0960000000000001</c:v>
                </c:pt>
                <c:pt idx="137">
                  <c:v>3.032</c:v>
                </c:pt>
                <c:pt idx="138">
                  <c:v>3.0590000000000002</c:v>
                </c:pt>
                <c:pt idx="139">
                  <c:v>3.0030000000000001</c:v>
                </c:pt>
                <c:pt idx="140">
                  <c:v>2.9569999999999999</c:v>
                </c:pt>
                <c:pt idx="141">
                  <c:v>2.968</c:v>
                </c:pt>
                <c:pt idx="142">
                  <c:v>2.9660000000000002</c:v>
                </c:pt>
                <c:pt idx="143">
                  <c:v>2.9430000000000001</c:v>
                </c:pt>
                <c:pt idx="144">
                  <c:v>2.9180000000000001</c:v>
                </c:pt>
                <c:pt idx="145">
                  <c:v>2.895</c:v>
                </c:pt>
                <c:pt idx="146">
                  <c:v>2.915</c:v>
                </c:pt>
                <c:pt idx="147">
                  <c:v>2.8679999999999999</c:v>
                </c:pt>
                <c:pt idx="148">
                  <c:v>2.8959999999999999</c:v>
                </c:pt>
                <c:pt idx="149">
                  <c:v>2.94</c:v>
                </c:pt>
                <c:pt idx="150">
                  <c:v>2.9670000000000001</c:v>
                </c:pt>
                <c:pt idx="151">
                  <c:v>2.9350000000000001</c:v>
                </c:pt>
                <c:pt idx="152">
                  <c:v>2.976</c:v>
                </c:pt>
                <c:pt idx="153">
                  <c:v>2.9489999999999998</c:v>
                </c:pt>
                <c:pt idx="154">
                  <c:v>2.9470000000000001</c:v>
                </c:pt>
                <c:pt idx="155">
                  <c:v>2.9779999999999998</c:v>
                </c:pt>
                <c:pt idx="156">
                  <c:v>2.9849999999999999</c:v>
                </c:pt>
                <c:pt idx="157">
                  <c:v>2.9870000000000001</c:v>
                </c:pt>
                <c:pt idx="158">
                  <c:v>2.9609999999999999</c:v>
                </c:pt>
                <c:pt idx="159">
                  <c:v>2.9790000000000001</c:v>
                </c:pt>
                <c:pt idx="160">
                  <c:v>2.9769999999999999</c:v>
                </c:pt>
                <c:pt idx="161">
                  <c:v>2.9590000000000001</c:v>
                </c:pt>
                <c:pt idx="162">
                  <c:v>2.944</c:v>
                </c:pt>
                <c:pt idx="163">
                  <c:v>2.9529999999999998</c:v>
                </c:pt>
                <c:pt idx="164">
                  <c:v>2.98</c:v>
                </c:pt>
                <c:pt idx="165">
                  <c:v>2.9980000000000002</c:v>
                </c:pt>
                <c:pt idx="166">
                  <c:v>2.9990000000000001</c:v>
                </c:pt>
                <c:pt idx="167">
                  <c:v>2.99</c:v>
                </c:pt>
                <c:pt idx="168">
                  <c:v>3</c:v>
                </c:pt>
                <c:pt idx="169">
                  <c:v>3.052</c:v>
                </c:pt>
                <c:pt idx="170">
                  <c:v>3.0510000000000002</c:v>
                </c:pt>
                <c:pt idx="171">
                  <c:v>3.0630000000000002</c:v>
                </c:pt>
                <c:pt idx="172">
                  <c:v>3.0750000000000002</c:v>
                </c:pt>
                <c:pt idx="173">
                  <c:v>3.024</c:v>
                </c:pt>
                <c:pt idx="174">
                  <c:v>3.0649999999999999</c:v>
                </c:pt>
                <c:pt idx="175">
                  <c:v>3.1080000000000001</c:v>
                </c:pt>
                <c:pt idx="176">
                  <c:v>3.12</c:v>
                </c:pt>
                <c:pt idx="177">
                  <c:v>3.1280000000000001</c:v>
                </c:pt>
                <c:pt idx="178">
                  <c:v>3.149</c:v>
                </c:pt>
                <c:pt idx="179">
                  <c:v>3.129</c:v>
                </c:pt>
                <c:pt idx="180">
                  <c:v>3.089</c:v>
                </c:pt>
                <c:pt idx="181">
                  <c:v>3.1</c:v>
                </c:pt>
                <c:pt idx="182">
                  <c:v>3.1480000000000001</c:v>
                </c:pt>
                <c:pt idx="183">
                  <c:v>3.153</c:v>
                </c:pt>
                <c:pt idx="184">
                  <c:v>3.1120000000000001</c:v>
                </c:pt>
                <c:pt idx="185">
                  <c:v>3.13</c:v>
                </c:pt>
                <c:pt idx="186">
                  <c:v>3.14</c:v>
                </c:pt>
                <c:pt idx="187">
                  <c:v>3.1230000000000002</c:v>
                </c:pt>
                <c:pt idx="188">
                  <c:v>3.0990000000000002</c:v>
                </c:pt>
                <c:pt idx="189">
                  <c:v>3.0910000000000002</c:v>
                </c:pt>
                <c:pt idx="190">
                  <c:v>3.093</c:v>
                </c:pt>
                <c:pt idx="191">
                  <c:v>3.0910000000000002</c:v>
                </c:pt>
                <c:pt idx="192">
                  <c:v>3.133</c:v>
                </c:pt>
                <c:pt idx="193">
                  <c:v>3.117</c:v>
                </c:pt>
                <c:pt idx="194">
                  <c:v>3.137</c:v>
                </c:pt>
                <c:pt idx="195">
                  <c:v>3.1480000000000001</c:v>
                </c:pt>
                <c:pt idx="196">
                  <c:v>3.1480000000000001</c:v>
                </c:pt>
                <c:pt idx="197">
                  <c:v>3.1480000000000001</c:v>
                </c:pt>
                <c:pt idx="198">
                  <c:v>3.1480000000000001</c:v>
                </c:pt>
                <c:pt idx="199">
                  <c:v>3.1480000000000001</c:v>
                </c:pt>
                <c:pt idx="200">
                  <c:v>3.1480000000000001</c:v>
                </c:pt>
                <c:pt idx="201">
                  <c:v>3.1480000000000001</c:v>
                </c:pt>
                <c:pt idx="202">
                  <c:v>3.19</c:v>
                </c:pt>
                <c:pt idx="203">
                  <c:v>3.18</c:v>
                </c:pt>
                <c:pt idx="204">
                  <c:v>3.1930000000000001</c:v>
                </c:pt>
                <c:pt idx="205">
                  <c:v>3.22</c:v>
                </c:pt>
                <c:pt idx="206">
                  <c:v>3.2280000000000002</c:v>
                </c:pt>
                <c:pt idx="207">
                  <c:v>3.2170000000000001</c:v>
                </c:pt>
                <c:pt idx="208">
                  <c:v>3.2010000000000001</c:v>
                </c:pt>
                <c:pt idx="209">
                  <c:v>3.198</c:v>
                </c:pt>
                <c:pt idx="210">
                  <c:v>3.1829999999999998</c:v>
                </c:pt>
                <c:pt idx="211">
                  <c:v>3.17</c:v>
                </c:pt>
                <c:pt idx="212">
                  <c:v>3.1960000000000002</c:v>
                </c:pt>
                <c:pt idx="213">
                  <c:v>3.19</c:v>
                </c:pt>
                <c:pt idx="214">
                  <c:v>3.17</c:v>
                </c:pt>
                <c:pt idx="215">
                  <c:v>3.1829999999999998</c:v>
                </c:pt>
                <c:pt idx="216">
                  <c:v>3.1850000000000001</c:v>
                </c:pt>
                <c:pt idx="217">
                  <c:v>3.1850000000000001</c:v>
                </c:pt>
                <c:pt idx="218">
                  <c:v>3.1859999999999999</c:v>
                </c:pt>
                <c:pt idx="219">
                  <c:v>3.1829999999999998</c:v>
                </c:pt>
                <c:pt idx="220">
                  <c:v>3.1749999999999998</c:v>
                </c:pt>
                <c:pt idx="221">
                  <c:v>3.1909999999999998</c:v>
                </c:pt>
                <c:pt idx="222">
                  <c:v>3.2010000000000001</c:v>
                </c:pt>
                <c:pt idx="223">
                  <c:v>3.24</c:v>
                </c:pt>
                <c:pt idx="224">
                  <c:v>3.226</c:v>
                </c:pt>
                <c:pt idx="225">
                  <c:v>3.2509999999999999</c:v>
                </c:pt>
                <c:pt idx="226">
                  <c:v>3.2629999999999999</c:v>
                </c:pt>
                <c:pt idx="227">
                  <c:v>3.274</c:v>
                </c:pt>
                <c:pt idx="228">
                  <c:v>3.2709999999999999</c:v>
                </c:pt>
                <c:pt idx="229">
                  <c:v>3.2829999999999999</c:v>
                </c:pt>
                <c:pt idx="230">
                  <c:v>3.3340000000000001</c:v>
                </c:pt>
                <c:pt idx="231">
                  <c:v>3.36</c:v>
                </c:pt>
                <c:pt idx="232">
                  <c:v>3.335</c:v>
                </c:pt>
                <c:pt idx="233">
                  <c:v>3.2890000000000001</c:v>
                </c:pt>
                <c:pt idx="234">
                  <c:v>3.3180000000000001</c:v>
                </c:pt>
                <c:pt idx="235">
                  <c:v>3.2959999999999998</c:v>
                </c:pt>
                <c:pt idx="236">
                  <c:v>3.3039999999999998</c:v>
                </c:pt>
                <c:pt idx="237">
                  <c:v>3.3180000000000001</c:v>
                </c:pt>
                <c:pt idx="238">
                  <c:v>3.2730000000000001</c:v>
                </c:pt>
                <c:pt idx="239">
                  <c:v>3.2989999999999999</c:v>
                </c:pt>
                <c:pt idx="240">
                  <c:v>3.3180000000000001</c:v>
                </c:pt>
                <c:pt idx="241">
                  <c:v>3.3039999999999998</c:v>
                </c:pt>
                <c:pt idx="242">
                  <c:v>3.3039999999999998</c:v>
                </c:pt>
                <c:pt idx="243">
                  <c:v>3.2949999999999999</c:v>
                </c:pt>
                <c:pt idx="244">
                  <c:v>3.2800000000000002</c:v>
                </c:pt>
                <c:pt idx="245">
                  <c:v>3.3029999999999999</c:v>
                </c:pt>
                <c:pt idx="246">
                  <c:v>3.286</c:v>
                </c:pt>
                <c:pt idx="247">
                  <c:v>3.3109999999999999</c:v>
                </c:pt>
                <c:pt idx="248">
                  <c:v>3.3069999999999999</c:v>
                </c:pt>
                <c:pt idx="249">
                  <c:v>3.2959999999999998</c:v>
                </c:pt>
                <c:pt idx="250">
                  <c:v>3.3</c:v>
                </c:pt>
                <c:pt idx="251">
                  <c:v>3.294</c:v>
                </c:pt>
                <c:pt idx="252">
                  <c:v>3.302</c:v>
                </c:pt>
                <c:pt idx="253">
                  <c:v>3.2640000000000002</c:v>
                </c:pt>
                <c:pt idx="254">
                  <c:v>3.2349999999999999</c:v>
                </c:pt>
                <c:pt idx="255">
                  <c:v>3.2170000000000001</c:v>
                </c:pt>
                <c:pt idx="256">
                  <c:v>3.2290000000000001</c:v>
                </c:pt>
                <c:pt idx="257">
                  <c:v>3.1930000000000001</c:v>
                </c:pt>
                <c:pt idx="258">
                  <c:v>3.1669999999999998</c:v>
                </c:pt>
                <c:pt idx="259">
                  <c:v>3.1619999999999999</c:v>
                </c:pt>
                <c:pt idx="260">
                  <c:v>3.1349999999999998</c:v>
                </c:pt>
                <c:pt idx="261">
                  <c:v>3.1459999999999999</c:v>
                </c:pt>
              </c:numCache>
            </c:numRef>
          </c:val>
          <c:smooth val="0"/>
          <c:extLst>
            <c:ext xmlns:c16="http://schemas.microsoft.com/office/drawing/2014/chart" uri="{C3380CC4-5D6E-409C-BE32-E72D297353CC}">
              <c16:uniqueId val="{00000001-D95E-489D-AD08-E0C189E28758}"/>
            </c:ext>
          </c:extLst>
        </c:ser>
        <c:ser>
          <c:idx val="7"/>
          <c:order val="2"/>
          <c:tx>
            <c:strRef>
              <c:f>'10 Year Bond Yield'!$I$1</c:f>
              <c:strCache>
                <c:ptCount val="1"/>
                <c:pt idx="0">
                  <c:v>Brazil</c:v>
                </c:pt>
              </c:strCache>
            </c:strRef>
          </c:tx>
          <c:spPr>
            <a:ln w="28575" cap="rnd">
              <a:solidFill>
                <a:schemeClr val="accent2">
                  <a:lumMod val="60000"/>
                </a:schemeClr>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Yield'!$I$2350:$I$2611</c:f>
              <c:numCache>
                <c:formatCode>General</c:formatCode>
                <c:ptCount val="262"/>
                <c:pt idx="0">
                  <c:v>6.7869999999999999</c:v>
                </c:pt>
                <c:pt idx="1">
                  <c:v>6.7240000000000002</c:v>
                </c:pt>
                <c:pt idx="2">
                  <c:v>6.8259999999999996</c:v>
                </c:pt>
                <c:pt idx="3">
                  <c:v>6.8479999999999999</c:v>
                </c:pt>
                <c:pt idx="4">
                  <c:v>6.8100000000000005</c:v>
                </c:pt>
                <c:pt idx="5">
                  <c:v>6.8129999999999997</c:v>
                </c:pt>
                <c:pt idx="6">
                  <c:v>6.7560000000000002</c:v>
                </c:pt>
                <c:pt idx="7">
                  <c:v>6.7969999999999997</c:v>
                </c:pt>
                <c:pt idx="8">
                  <c:v>6.87</c:v>
                </c:pt>
                <c:pt idx="9">
                  <c:v>6.7969999999999997</c:v>
                </c:pt>
                <c:pt idx="10">
                  <c:v>6.7940000000000005</c:v>
                </c:pt>
                <c:pt idx="11">
                  <c:v>6.85</c:v>
                </c:pt>
                <c:pt idx="12">
                  <c:v>6.7809999999999997</c:v>
                </c:pt>
                <c:pt idx="13">
                  <c:v>6.8259999999999996</c:v>
                </c:pt>
                <c:pt idx="14">
                  <c:v>6.8140000000000001</c:v>
                </c:pt>
                <c:pt idx="15">
                  <c:v>6.7519999999999998</c:v>
                </c:pt>
                <c:pt idx="16">
                  <c:v>6.7439999999999998</c:v>
                </c:pt>
                <c:pt idx="17">
                  <c:v>6.7240000000000002</c:v>
                </c:pt>
                <c:pt idx="18">
                  <c:v>6.7439999999999998</c:v>
                </c:pt>
                <c:pt idx="19">
                  <c:v>6.6440000000000001</c:v>
                </c:pt>
                <c:pt idx="20">
                  <c:v>6.7089999999999996</c:v>
                </c:pt>
                <c:pt idx="21">
                  <c:v>6.6909999999999998</c:v>
                </c:pt>
                <c:pt idx="22">
                  <c:v>6.7089999999999996</c:v>
                </c:pt>
                <c:pt idx="23">
                  <c:v>6.6280000000000001</c:v>
                </c:pt>
                <c:pt idx="24">
                  <c:v>6.6020000000000003</c:v>
                </c:pt>
                <c:pt idx="25">
                  <c:v>6.4770000000000003</c:v>
                </c:pt>
                <c:pt idx="26">
                  <c:v>6.5600000000000005</c:v>
                </c:pt>
                <c:pt idx="27">
                  <c:v>6.6449999999999996</c:v>
                </c:pt>
                <c:pt idx="28">
                  <c:v>6.532</c:v>
                </c:pt>
                <c:pt idx="29">
                  <c:v>6.5010000000000003</c:v>
                </c:pt>
                <c:pt idx="30">
                  <c:v>6.492</c:v>
                </c:pt>
                <c:pt idx="31">
                  <c:v>6.5220000000000002</c:v>
                </c:pt>
                <c:pt idx="32">
                  <c:v>6.4320000000000004</c:v>
                </c:pt>
                <c:pt idx="33">
                  <c:v>6.4619999999999997</c:v>
                </c:pt>
                <c:pt idx="34">
                  <c:v>6.4950000000000001</c:v>
                </c:pt>
                <c:pt idx="35">
                  <c:v>6.4879999999999995</c:v>
                </c:pt>
                <c:pt idx="36">
                  <c:v>6.5739999999999998</c:v>
                </c:pt>
                <c:pt idx="37">
                  <c:v>6.6079999999999997</c:v>
                </c:pt>
                <c:pt idx="38">
                  <c:v>6.6079999999999997</c:v>
                </c:pt>
                <c:pt idx="39">
                  <c:v>6.6079999999999997</c:v>
                </c:pt>
                <c:pt idx="40">
                  <c:v>6.7930000000000001</c:v>
                </c:pt>
                <c:pt idx="41">
                  <c:v>6.7969999999999997</c:v>
                </c:pt>
                <c:pt idx="42">
                  <c:v>6.6760000000000002</c:v>
                </c:pt>
                <c:pt idx="43">
                  <c:v>6.5839999999999996</c:v>
                </c:pt>
                <c:pt idx="44">
                  <c:v>6.6269999999999998</c:v>
                </c:pt>
                <c:pt idx="45">
                  <c:v>6.5529999999999999</c:v>
                </c:pt>
                <c:pt idx="46">
                  <c:v>6.7329999999999997</c:v>
                </c:pt>
                <c:pt idx="47">
                  <c:v>6.7469999999999999</c:v>
                </c:pt>
                <c:pt idx="48">
                  <c:v>7.1669999999999998</c:v>
                </c:pt>
                <c:pt idx="49">
                  <c:v>7.0389999999999997</c:v>
                </c:pt>
                <c:pt idx="50">
                  <c:v>8.2850000000000001</c:v>
                </c:pt>
                <c:pt idx="51">
                  <c:v>8.6199999999999992</c:v>
                </c:pt>
                <c:pt idx="52">
                  <c:v>7.782</c:v>
                </c:pt>
                <c:pt idx="53">
                  <c:v>8.4920000000000009</c:v>
                </c:pt>
                <c:pt idx="54">
                  <c:v>7.8689999999999998</c:v>
                </c:pt>
                <c:pt idx="55">
                  <c:v>8.6229999999999993</c:v>
                </c:pt>
                <c:pt idx="56">
                  <c:v>8.891</c:v>
                </c:pt>
                <c:pt idx="57">
                  <c:v>8.891</c:v>
                </c:pt>
                <c:pt idx="58">
                  <c:v>8.891</c:v>
                </c:pt>
                <c:pt idx="59">
                  <c:v>9.5269999999999992</c:v>
                </c:pt>
                <c:pt idx="60">
                  <c:v>8.6159999999999997</c:v>
                </c:pt>
                <c:pt idx="61">
                  <c:v>8.6159999999999997</c:v>
                </c:pt>
                <c:pt idx="62">
                  <c:v>8.6159999999999997</c:v>
                </c:pt>
                <c:pt idx="63">
                  <c:v>8.6159999999999997</c:v>
                </c:pt>
                <c:pt idx="64">
                  <c:v>8.6159999999999997</c:v>
                </c:pt>
                <c:pt idx="65">
                  <c:v>8.6159999999999997</c:v>
                </c:pt>
                <c:pt idx="66">
                  <c:v>8.6159999999999997</c:v>
                </c:pt>
                <c:pt idx="67">
                  <c:v>8.6159999999999997</c:v>
                </c:pt>
                <c:pt idx="68">
                  <c:v>8.6159999999999997</c:v>
                </c:pt>
                <c:pt idx="69">
                  <c:v>8.6159999999999997</c:v>
                </c:pt>
                <c:pt idx="70">
                  <c:v>8.6159999999999997</c:v>
                </c:pt>
                <c:pt idx="71">
                  <c:v>8.6159999999999997</c:v>
                </c:pt>
                <c:pt idx="72">
                  <c:v>8.6159999999999997</c:v>
                </c:pt>
                <c:pt idx="73">
                  <c:v>8.6159999999999997</c:v>
                </c:pt>
                <c:pt idx="74">
                  <c:v>8.6159999999999997</c:v>
                </c:pt>
                <c:pt idx="75">
                  <c:v>8.6159999999999997</c:v>
                </c:pt>
                <c:pt idx="76">
                  <c:v>8.6159999999999997</c:v>
                </c:pt>
                <c:pt idx="77">
                  <c:v>8.6159999999999997</c:v>
                </c:pt>
                <c:pt idx="78">
                  <c:v>7.1859999999999999</c:v>
                </c:pt>
                <c:pt idx="79">
                  <c:v>7.1859999999999999</c:v>
                </c:pt>
                <c:pt idx="80">
                  <c:v>7.1859999999999999</c:v>
                </c:pt>
                <c:pt idx="81">
                  <c:v>7.1859999999999999</c:v>
                </c:pt>
                <c:pt idx="82">
                  <c:v>7.1859999999999999</c:v>
                </c:pt>
                <c:pt idx="83">
                  <c:v>7.1859999999999999</c:v>
                </c:pt>
                <c:pt idx="84">
                  <c:v>7.1859999999999999</c:v>
                </c:pt>
                <c:pt idx="85">
                  <c:v>7.1859999999999999</c:v>
                </c:pt>
                <c:pt idx="86">
                  <c:v>7.1859999999999999</c:v>
                </c:pt>
                <c:pt idx="87">
                  <c:v>7.1859999999999999</c:v>
                </c:pt>
                <c:pt idx="88">
                  <c:v>7.1859999999999999</c:v>
                </c:pt>
                <c:pt idx="89">
                  <c:v>7.1859999999999999</c:v>
                </c:pt>
                <c:pt idx="90">
                  <c:v>7.1859999999999999</c:v>
                </c:pt>
                <c:pt idx="91">
                  <c:v>7.1859999999999999</c:v>
                </c:pt>
                <c:pt idx="92">
                  <c:v>7.1859999999999999</c:v>
                </c:pt>
                <c:pt idx="93">
                  <c:v>7.1859999999999999</c:v>
                </c:pt>
                <c:pt idx="94">
                  <c:v>7.1859999999999999</c:v>
                </c:pt>
                <c:pt idx="95">
                  <c:v>7.1859999999999999</c:v>
                </c:pt>
                <c:pt idx="96">
                  <c:v>7.1859999999999999</c:v>
                </c:pt>
                <c:pt idx="97">
                  <c:v>7.1859999999999999</c:v>
                </c:pt>
                <c:pt idx="98">
                  <c:v>7.1859999999999999</c:v>
                </c:pt>
                <c:pt idx="99">
                  <c:v>7.1859999999999999</c:v>
                </c:pt>
                <c:pt idx="100">
                  <c:v>7.1859999999999999</c:v>
                </c:pt>
                <c:pt idx="101">
                  <c:v>7.1859999999999999</c:v>
                </c:pt>
                <c:pt idx="102">
                  <c:v>7.1859999999999999</c:v>
                </c:pt>
                <c:pt idx="103">
                  <c:v>7.1859999999999999</c:v>
                </c:pt>
                <c:pt idx="104">
                  <c:v>7.1859999999999999</c:v>
                </c:pt>
                <c:pt idx="105">
                  <c:v>7.1859999999999999</c:v>
                </c:pt>
                <c:pt idx="106">
                  <c:v>7.1859999999999999</c:v>
                </c:pt>
                <c:pt idx="107">
                  <c:v>7.1859999999999999</c:v>
                </c:pt>
                <c:pt idx="108">
                  <c:v>7.1859999999999999</c:v>
                </c:pt>
                <c:pt idx="109">
                  <c:v>7.1859999999999999</c:v>
                </c:pt>
                <c:pt idx="110">
                  <c:v>7.1859999999999999</c:v>
                </c:pt>
                <c:pt idx="111">
                  <c:v>7.1859999999999999</c:v>
                </c:pt>
                <c:pt idx="112">
                  <c:v>7.1859999999999999</c:v>
                </c:pt>
                <c:pt idx="113">
                  <c:v>7.1859999999999999</c:v>
                </c:pt>
                <c:pt idx="114">
                  <c:v>7.0510000000000002</c:v>
                </c:pt>
                <c:pt idx="115">
                  <c:v>6.9260000000000002</c:v>
                </c:pt>
                <c:pt idx="116">
                  <c:v>6.9260000000000002</c:v>
                </c:pt>
                <c:pt idx="117">
                  <c:v>6.8620000000000001</c:v>
                </c:pt>
                <c:pt idx="118">
                  <c:v>6.8620000000000001</c:v>
                </c:pt>
                <c:pt idx="119">
                  <c:v>7.0739999999999998</c:v>
                </c:pt>
                <c:pt idx="120">
                  <c:v>6.9039999999999999</c:v>
                </c:pt>
                <c:pt idx="121">
                  <c:v>7.1669999999999998</c:v>
                </c:pt>
                <c:pt idx="122">
                  <c:v>7.1660000000000004</c:v>
                </c:pt>
                <c:pt idx="123">
                  <c:v>7.1660000000000004</c:v>
                </c:pt>
                <c:pt idx="124">
                  <c:v>7.1660000000000004</c:v>
                </c:pt>
                <c:pt idx="125">
                  <c:v>7.29</c:v>
                </c:pt>
                <c:pt idx="126">
                  <c:v>7.29</c:v>
                </c:pt>
                <c:pt idx="127">
                  <c:v>7.29</c:v>
                </c:pt>
                <c:pt idx="128">
                  <c:v>7.29</c:v>
                </c:pt>
                <c:pt idx="129">
                  <c:v>6.952</c:v>
                </c:pt>
                <c:pt idx="130">
                  <c:v>6.851</c:v>
                </c:pt>
                <c:pt idx="131">
                  <c:v>6.7889999999999997</c:v>
                </c:pt>
                <c:pt idx="132">
                  <c:v>6.6769999999999996</c:v>
                </c:pt>
                <c:pt idx="133">
                  <c:v>6.6580000000000004</c:v>
                </c:pt>
                <c:pt idx="134">
                  <c:v>6.7510000000000003</c:v>
                </c:pt>
                <c:pt idx="135">
                  <c:v>6.7469999999999999</c:v>
                </c:pt>
                <c:pt idx="136">
                  <c:v>6.6660000000000004</c:v>
                </c:pt>
                <c:pt idx="137">
                  <c:v>6.6589999999999998</c:v>
                </c:pt>
                <c:pt idx="138">
                  <c:v>6.6589999999999998</c:v>
                </c:pt>
                <c:pt idx="139">
                  <c:v>6.6980000000000004</c:v>
                </c:pt>
                <c:pt idx="140">
                  <c:v>6.6829999999999998</c:v>
                </c:pt>
                <c:pt idx="141">
                  <c:v>6.6929999999999996</c:v>
                </c:pt>
                <c:pt idx="142">
                  <c:v>6.617</c:v>
                </c:pt>
                <c:pt idx="143">
                  <c:v>6.617</c:v>
                </c:pt>
                <c:pt idx="144">
                  <c:v>6.6609999999999996</c:v>
                </c:pt>
                <c:pt idx="145">
                  <c:v>6.7679999999999998</c:v>
                </c:pt>
                <c:pt idx="146">
                  <c:v>6.9109999999999996</c:v>
                </c:pt>
                <c:pt idx="147">
                  <c:v>6.8170000000000002</c:v>
                </c:pt>
                <c:pt idx="148">
                  <c:v>6.7469999999999999</c:v>
                </c:pt>
                <c:pt idx="149">
                  <c:v>6.7859999999999996</c:v>
                </c:pt>
                <c:pt idx="150">
                  <c:v>6.77</c:v>
                </c:pt>
                <c:pt idx="151">
                  <c:v>6.62</c:v>
                </c:pt>
                <c:pt idx="152">
                  <c:v>6.5620000000000003</c:v>
                </c:pt>
                <c:pt idx="153">
                  <c:v>6.5620000000000003</c:v>
                </c:pt>
                <c:pt idx="154">
                  <c:v>6.6580000000000004</c:v>
                </c:pt>
                <c:pt idx="155">
                  <c:v>6.7389999999999999</c:v>
                </c:pt>
                <c:pt idx="156">
                  <c:v>6.673</c:v>
                </c:pt>
                <c:pt idx="157">
                  <c:v>6.7539999999999996</c:v>
                </c:pt>
                <c:pt idx="158">
                  <c:v>6.8289999999999997</c:v>
                </c:pt>
                <c:pt idx="159">
                  <c:v>6.9630000000000001</c:v>
                </c:pt>
                <c:pt idx="160">
                  <c:v>7.0579999999999998</c:v>
                </c:pt>
                <c:pt idx="161">
                  <c:v>7.3049999999999997</c:v>
                </c:pt>
                <c:pt idx="162">
                  <c:v>7.27</c:v>
                </c:pt>
                <c:pt idx="163">
                  <c:v>7.4459999999999997</c:v>
                </c:pt>
                <c:pt idx="164">
                  <c:v>7.1669999999999998</c:v>
                </c:pt>
                <c:pt idx="165">
                  <c:v>7.2850000000000001</c:v>
                </c:pt>
                <c:pt idx="166">
                  <c:v>7.3280000000000003</c:v>
                </c:pt>
                <c:pt idx="167">
                  <c:v>7.2229999999999999</c:v>
                </c:pt>
                <c:pt idx="168">
                  <c:v>7.2050000000000001</c:v>
                </c:pt>
                <c:pt idx="169">
                  <c:v>7.1680000000000001</c:v>
                </c:pt>
                <c:pt idx="170">
                  <c:v>7.1680000000000001</c:v>
                </c:pt>
                <c:pt idx="171">
                  <c:v>7.1680000000000001</c:v>
                </c:pt>
                <c:pt idx="172">
                  <c:v>7.1680000000000001</c:v>
                </c:pt>
                <c:pt idx="173">
                  <c:v>7.1680000000000001</c:v>
                </c:pt>
                <c:pt idx="174">
                  <c:v>7.1680000000000001</c:v>
                </c:pt>
                <c:pt idx="175">
                  <c:v>7.1680000000000001</c:v>
                </c:pt>
                <c:pt idx="176">
                  <c:v>7.1680000000000001</c:v>
                </c:pt>
                <c:pt idx="177">
                  <c:v>7.1680000000000001</c:v>
                </c:pt>
                <c:pt idx="178">
                  <c:v>7.1680000000000001</c:v>
                </c:pt>
                <c:pt idx="179">
                  <c:v>7.1680000000000001</c:v>
                </c:pt>
                <c:pt idx="180">
                  <c:v>7.1680000000000001</c:v>
                </c:pt>
                <c:pt idx="181">
                  <c:v>7.2469999999999999</c:v>
                </c:pt>
                <c:pt idx="182">
                  <c:v>7.2469999999999999</c:v>
                </c:pt>
                <c:pt idx="183">
                  <c:v>7.2469999999999999</c:v>
                </c:pt>
                <c:pt idx="184">
                  <c:v>7.2469999999999999</c:v>
                </c:pt>
                <c:pt idx="185">
                  <c:v>7.2469999999999999</c:v>
                </c:pt>
                <c:pt idx="186">
                  <c:v>7.2469999999999999</c:v>
                </c:pt>
                <c:pt idx="187">
                  <c:v>7.2469999999999999</c:v>
                </c:pt>
                <c:pt idx="188">
                  <c:v>7.2469999999999999</c:v>
                </c:pt>
                <c:pt idx="189">
                  <c:v>7.2469999999999999</c:v>
                </c:pt>
                <c:pt idx="190">
                  <c:v>7.2469999999999999</c:v>
                </c:pt>
                <c:pt idx="191">
                  <c:v>7.2469999999999999</c:v>
                </c:pt>
                <c:pt idx="192">
                  <c:v>7.41</c:v>
                </c:pt>
                <c:pt idx="193">
                  <c:v>7.41</c:v>
                </c:pt>
                <c:pt idx="194">
                  <c:v>7.8719999999999999</c:v>
                </c:pt>
                <c:pt idx="195">
                  <c:v>7.5869999999999997</c:v>
                </c:pt>
                <c:pt idx="196">
                  <c:v>7.7210000000000001</c:v>
                </c:pt>
                <c:pt idx="197">
                  <c:v>7.8179999999999996</c:v>
                </c:pt>
                <c:pt idx="198">
                  <c:v>7.6669999999999998</c:v>
                </c:pt>
                <c:pt idx="199">
                  <c:v>7.7880000000000003</c:v>
                </c:pt>
                <c:pt idx="200">
                  <c:v>7.9180000000000001</c:v>
                </c:pt>
                <c:pt idx="201">
                  <c:v>8.0069999999999997</c:v>
                </c:pt>
                <c:pt idx="202">
                  <c:v>8.0069999999999997</c:v>
                </c:pt>
                <c:pt idx="203">
                  <c:v>8.0069999999999997</c:v>
                </c:pt>
                <c:pt idx="204">
                  <c:v>7.806</c:v>
                </c:pt>
                <c:pt idx="205">
                  <c:v>7.7620000000000005</c:v>
                </c:pt>
                <c:pt idx="206">
                  <c:v>7.9559999999999995</c:v>
                </c:pt>
                <c:pt idx="207">
                  <c:v>7.95</c:v>
                </c:pt>
                <c:pt idx="208">
                  <c:v>7.7780000000000005</c:v>
                </c:pt>
                <c:pt idx="209">
                  <c:v>7.6690000000000005</c:v>
                </c:pt>
                <c:pt idx="210">
                  <c:v>7.7359999999999998</c:v>
                </c:pt>
                <c:pt idx="211">
                  <c:v>7.9240000000000004</c:v>
                </c:pt>
                <c:pt idx="212">
                  <c:v>7.8730000000000002</c:v>
                </c:pt>
                <c:pt idx="213">
                  <c:v>7.8449999999999998</c:v>
                </c:pt>
                <c:pt idx="214">
                  <c:v>7.9329999999999998</c:v>
                </c:pt>
                <c:pt idx="215">
                  <c:v>7.8469999999999995</c:v>
                </c:pt>
                <c:pt idx="216">
                  <c:v>7.8209999999999997</c:v>
                </c:pt>
                <c:pt idx="217">
                  <c:v>7.8970000000000002</c:v>
                </c:pt>
                <c:pt idx="218">
                  <c:v>7.8970000000000002</c:v>
                </c:pt>
                <c:pt idx="219">
                  <c:v>7.9350000000000005</c:v>
                </c:pt>
                <c:pt idx="220">
                  <c:v>7.843</c:v>
                </c:pt>
                <c:pt idx="221">
                  <c:v>7.7279999999999998</c:v>
                </c:pt>
                <c:pt idx="222">
                  <c:v>7.5410000000000004</c:v>
                </c:pt>
                <c:pt idx="223">
                  <c:v>7.4240000000000004</c:v>
                </c:pt>
                <c:pt idx="224">
                  <c:v>7.61</c:v>
                </c:pt>
                <c:pt idx="225">
                  <c:v>7.7350000000000003</c:v>
                </c:pt>
                <c:pt idx="226">
                  <c:v>7.8120000000000003</c:v>
                </c:pt>
                <c:pt idx="227">
                  <c:v>7.7430000000000003</c:v>
                </c:pt>
                <c:pt idx="228">
                  <c:v>7.7219999999999995</c:v>
                </c:pt>
                <c:pt idx="229">
                  <c:v>7.742</c:v>
                </c:pt>
                <c:pt idx="230">
                  <c:v>7.9850000000000003</c:v>
                </c:pt>
                <c:pt idx="231">
                  <c:v>8.0109999999999992</c:v>
                </c:pt>
                <c:pt idx="232">
                  <c:v>8.1310000000000002</c:v>
                </c:pt>
                <c:pt idx="233">
                  <c:v>8.1869999999999994</c:v>
                </c:pt>
                <c:pt idx="234">
                  <c:v>8.0719999999999992</c:v>
                </c:pt>
                <c:pt idx="235">
                  <c:v>8.0250000000000004</c:v>
                </c:pt>
                <c:pt idx="236">
                  <c:v>8.0009999999999994</c:v>
                </c:pt>
                <c:pt idx="237">
                  <c:v>7.9489999999999998</c:v>
                </c:pt>
                <c:pt idx="238">
                  <c:v>7.9559999999999995</c:v>
                </c:pt>
                <c:pt idx="239">
                  <c:v>7.7370000000000001</c:v>
                </c:pt>
                <c:pt idx="240">
                  <c:v>7.6820000000000004</c:v>
                </c:pt>
                <c:pt idx="241">
                  <c:v>7.4870000000000001</c:v>
                </c:pt>
                <c:pt idx="242">
                  <c:v>7.415</c:v>
                </c:pt>
                <c:pt idx="243">
                  <c:v>7.45</c:v>
                </c:pt>
                <c:pt idx="244">
                  <c:v>7.4109999999999996</c:v>
                </c:pt>
                <c:pt idx="245">
                  <c:v>7.4569999999999999</c:v>
                </c:pt>
                <c:pt idx="246">
                  <c:v>7.3019999999999996</c:v>
                </c:pt>
                <c:pt idx="247">
                  <c:v>7.2060000000000004</c:v>
                </c:pt>
                <c:pt idx="248">
                  <c:v>7.3390000000000004</c:v>
                </c:pt>
                <c:pt idx="249">
                  <c:v>7.2249999999999996</c:v>
                </c:pt>
                <c:pt idx="250">
                  <c:v>7.2830000000000004</c:v>
                </c:pt>
                <c:pt idx="251">
                  <c:v>7.2460000000000004</c:v>
                </c:pt>
                <c:pt idx="252">
                  <c:v>7.1989999999999998</c:v>
                </c:pt>
                <c:pt idx="253">
                  <c:v>7.1879999999999997</c:v>
                </c:pt>
                <c:pt idx="254">
                  <c:v>7.1559999999999997</c:v>
                </c:pt>
                <c:pt idx="255">
                  <c:v>7.1230000000000002</c:v>
                </c:pt>
                <c:pt idx="256">
                  <c:v>7.1230000000000002</c:v>
                </c:pt>
                <c:pt idx="257">
                  <c:v>7.1230000000000002</c:v>
                </c:pt>
                <c:pt idx="258">
                  <c:v>7.0830000000000002</c:v>
                </c:pt>
                <c:pt idx="259">
                  <c:v>6.9320000000000004</c:v>
                </c:pt>
                <c:pt idx="260">
                  <c:v>6.91</c:v>
                </c:pt>
                <c:pt idx="261">
                  <c:v>6.91</c:v>
                </c:pt>
              </c:numCache>
            </c:numRef>
          </c:val>
          <c:smooth val="0"/>
          <c:extLst>
            <c:ext xmlns:c16="http://schemas.microsoft.com/office/drawing/2014/chart" uri="{C3380CC4-5D6E-409C-BE32-E72D297353CC}">
              <c16:uniqueId val="{00000002-D95E-489D-AD08-E0C189E28758}"/>
            </c:ext>
          </c:extLst>
        </c:ser>
        <c:ser>
          <c:idx val="8"/>
          <c:order val="3"/>
          <c:tx>
            <c:strRef>
              <c:f>'10 Year Bond Yield'!$J$1</c:f>
              <c:strCache>
                <c:ptCount val="1"/>
                <c:pt idx="0">
                  <c:v>Russia</c:v>
                </c:pt>
              </c:strCache>
            </c:strRef>
          </c:tx>
          <c:spPr>
            <a:ln w="28575" cap="rnd">
              <a:solidFill>
                <a:schemeClr val="accent3">
                  <a:lumMod val="60000"/>
                </a:schemeClr>
              </a:solidFill>
              <a:round/>
            </a:ln>
            <a:effectLst/>
          </c:spPr>
          <c:marker>
            <c:symbol val="none"/>
          </c:marker>
          <c:cat>
            <c:numRef>
              <c:f>'10 Year Bond Yield'!$A$2350:$A$2611</c:f>
              <c:numCache>
                <c:formatCode>[$-409]mmm\-yy;@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'10 Year Bond Yield'!$J$2350:$J$2611</c:f>
              <c:numCache>
                <c:formatCode>General</c:formatCode>
                <c:ptCount val="262"/>
                <c:pt idx="0">
                  <c:v>2.9849999999999999</c:v>
                </c:pt>
                <c:pt idx="1">
                  <c:v>2.9849999999999999</c:v>
                </c:pt>
                <c:pt idx="2">
                  <c:v>2.9849999999999999</c:v>
                </c:pt>
                <c:pt idx="3">
                  <c:v>2.9849999999999999</c:v>
                </c:pt>
                <c:pt idx="4">
                  <c:v>2.9849999999999999</c:v>
                </c:pt>
                <c:pt idx="5">
                  <c:v>2.9849999999999999</c:v>
                </c:pt>
                <c:pt idx="6">
                  <c:v>3.0259999999999998</c:v>
                </c:pt>
                <c:pt idx="7">
                  <c:v>3.0219999999999998</c:v>
                </c:pt>
                <c:pt idx="8">
                  <c:v>3.0019999999999998</c:v>
                </c:pt>
                <c:pt idx="9">
                  <c:v>2.9969999999999999</c:v>
                </c:pt>
                <c:pt idx="10">
                  <c:v>2.9859999999999998</c:v>
                </c:pt>
                <c:pt idx="11">
                  <c:v>2.9740000000000002</c:v>
                </c:pt>
                <c:pt idx="12">
                  <c:v>2.976</c:v>
                </c:pt>
                <c:pt idx="13">
                  <c:v>2.976</c:v>
                </c:pt>
                <c:pt idx="14">
                  <c:v>2.964</c:v>
                </c:pt>
                <c:pt idx="15">
                  <c:v>2.9590000000000001</c:v>
                </c:pt>
                <c:pt idx="16">
                  <c:v>2.9489999999999998</c:v>
                </c:pt>
                <c:pt idx="17">
                  <c:v>2.9459999999999997</c:v>
                </c:pt>
                <c:pt idx="18">
                  <c:v>2.9489999999999998</c:v>
                </c:pt>
                <c:pt idx="19">
                  <c:v>2.923</c:v>
                </c:pt>
                <c:pt idx="20">
                  <c:v>2.899</c:v>
                </c:pt>
                <c:pt idx="21">
                  <c:v>2.83</c:v>
                </c:pt>
                <c:pt idx="22">
                  <c:v>2.7869999999999999</c:v>
                </c:pt>
                <c:pt idx="23">
                  <c:v>2.7800000000000002</c:v>
                </c:pt>
                <c:pt idx="24">
                  <c:v>2.8239999999999998</c:v>
                </c:pt>
                <c:pt idx="25">
                  <c:v>2.8250000000000002</c:v>
                </c:pt>
                <c:pt idx="26">
                  <c:v>2.8250000000000002</c:v>
                </c:pt>
                <c:pt idx="27">
                  <c:v>2.8279999999999998</c:v>
                </c:pt>
                <c:pt idx="28">
                  <c:v>2.7949999999999999</c:v>
                </c:pt>
                <c:pt idx="29">
                  <c:v>2.75</c:v>
                </c:pt>
                <c:pt idx="30">
                  <c:v>2.7469999999999999</c:v>
                </c:pt>
                <c:pt idx="31">
                  <c:v>2.742</c:v>
                </c:pt>
                <c:pt idx="32">
                  <c:v>2.7210000000000001</c:v>
                </c:pt>
                <c:pt idx="33">
                  <c:v>2.7210000000000001</c:v>
                </c:pt>
                <c:pt idx="34">
                  <c:v>2.7119999999999997</c:v>
                </c:pt>
                <c:pt idx="35">
                  <c:v>2.7069999999999999</c:v>
                </c:pt>
                <c:pt idx="36">
                  <c:v>2.681</c:v>
                </c:pt>
                <c:pt idx="37">
                  <c:v>2.6440000000000001</c:v>
                </c:pt>
                <c:pt idx="38">
                  <c:v>2.6440000000000001</c:v>
                </c:pt>
                <c:pt idx="39">
                  <c:v>2.64</c:v>
                </c:pt>
                <c:pt idx="40">
                  <c:v>2.6640000000000001</c:v>
                </c:pt>
                <c:pt idx="41">
                  <c:v>2.7640000000000002</c:v>
                </c:pt>
                <c:pt idx="42">
                  <c:v>2.9660000000000002</c:v>
                </c:pt>
                <c:pt idx="43">
                  <c:v>2.9039999999999999</c:v>
                </c:pt>
                <c:pt idx="44">
                  <c:v>2.7320000000000002</c:v>
                </c:pt>
                <c:pt idx="45">
                  <c:v>2.5680000000000001</c:v>
                </c:pt>
                <c:pt idx="46">
                  <c:v>2.5609999999999999</c:v>
                </c:pt>
                <c:pt idx="47">
                  <c:v>2.6150000000000002</c:v>
                </c:pt>
                <c:pt idx="48">
                  <c:v>2.6150000000000002</c:v>
                </c:pt>
                <c:pt idx="49">
                  <c:v>3.0590000000000002</c:v>
                </c:pt>
                <c:pt idx="50">
                  <c:v>3.0459999999999998</c:v>
                </c:pt>
                <c:pt idx="51">
                  <c:v>3.657</c:v>
                </c:pt>
                <c:pt idx="52">
                  <c:v>3.5910000000000002</c:v>
                </c:pt>
                <c:pt idx="53">
                  <c:v>3.835</c:v>
                </c:pt>
                <c:pt idx="54">
                  <c:v>3.831</c:v>
                </c:pt>
                <c:pt idx="55">
                  <c:v>4.7610000000000001</c:v>
                </c:pt>
                <c:pt idx="56">
                  <c:v>4.3789999999999996</c:v>
                </c:pt>
                <c:pt idx="57">
                  <c:v>4.0620000000000003</c:v>
                </c:pt>
                <c:pt idx="58">
                  <c:v>3.895</c:v>
                </c:pt>
                <c:pt idx="59">
                  <c:v>3.5070000000000001</c:v>
                </c:pt>
                <c:pt idx="60">
                  <c:v>3.3290000000000002</c:v>
                </c:pt>
                <c:pt idx="61">
                  <c:v>3.2349999999999999</c:v>
                </c:pt>
                <c:pt idx="62">
                  <c:v>3.3820000000000001</c:v>
                </c:pt>
                <c:pt idx="63">
                  <c:v>3.601</c:v>
                </c:pt>
                <c:pt idx="64">
                  <c:v>3.4820000000000002</c:v>
                </c:pt>
                <c:pt idx="65">
                  <c:v>3.54</c:v>
                </c:pt>
                <c:pt idx="66">
                  <c:v>3.3890000000000002</c:v>
                </c:pt>
                <c:pt idx="67">
                  <c:v>3.17</c:v>
                </c:pt>
                <c:pt idx="68">
                  <c:v>3.069</c:v>
                </c:pt>
                <c:pt idx="69">
                  <c:v>3.0350000000000001</c:v>
                </c:pt>
                <c:pt idx="70">
                  <c:v>3.125</c:v>
                </c:pt>
                <c:pt idx="71">
                  <c:v>3.0470000000000002</c:v>
                </c:pt>
                <c:pt idx="72">
                  <c:v>3.0470000000000002</c:v>
                </c:pt>
                <c:pt idx="73">
                  <c:v>3.03</c:v>
                </c:pt>
                <c:pt idx="74">
                  <c:v>3.0059999999999998</c:v>
                </c:pt>
                <c:pt idx="75">
                  <c:v>3.1219999999999999</c:v>
                </c:pt>
                <c:pt idx="76">
                  <c:v>3.0830000000000002</c:v>
                </c:pt>
                <c:pt idx="77">
                  <c:v>3.0840000000000001</c:v>
                </c:pt>
                <c:pt idx="78">
                  <c:v>3.1150000000000002</c:v>
                </c:pt>
                <c:pt idx="79">
                  <c:v>3.2629999999999999</c:v>
                </c:pt>
                <c:pt idx="80">
                  <c:v>3.1840000000000002</c:v>
                </c:pt>
                <c:pt idx="81">
                  <c:v>3.1230000000000002</c:v>
                </c:pt>
                <c:pt idx="82">
                  <c:v>3.1019999999999999</c:v>
                </c:pt>
                <c:pt idx="83">
                  <c:v>3.0960000000000001</c:v>
                </c:pt>
                <c:pt idx="84">
                  <c:v>3.121</c:v>
                </c:pt>
                <c:pt idx="85">
                  <c:v>3.1019999999999999</c:v>
                </c:pt>
                <c:pt idx="86">
                  <c:v>3.0529999999999999</c:v>
                </c:pt>
                <c:pt idx="87">
                  <c:v>3.0529999999999999</c:v>
                </c:pt>
                <c:pt idx="88">
                  <c:v>3.0529999999999999</c:v>
                </c:pt>
                <c:pt idx="89">
                  <c:v>3.0529999999999999</c:v>
                </c:pt>
                <c:pt idx="90">
                  <c:v>3.0169999999999999</c:v>
                </c:pt>
                <c:pt idx="91">
                  <c:v>2.9649999999999999</c:v>
                </c:pt>
                <c:pt idx="92">
                  <c:v>2.964</c:v>
                </c:pt>
                <c:pt idx="93">
                  <c:v>2.964</c:v>
                </c:pt>
                <c:pt idx="94">
                  <c:v>2.8519999999999999</c:v>
                </c:pt>
                <c:pt idx="95">
                  <c:v>2.8529999999999998</c:v>
                </c:pt>
                <c:pt idx="96">
                  <c:v>2.86</c:v>
                </c:pt>
                <c:pt idx="97">
                  <c:v>2.798</c:v>
                </c:pt>
                <c:pt idx="98">
                  <c:v>2.69</c:v>
                </c:pt>
                <c:pt idx="99">
                  <c:v>2.6019999999999999</c:v>
                </c:pt>
                <c:pt idx="100">
                  <c:v>2.472</c:v>
                </c:pt>
                <c:pt idx="101">
                  <c:v>2.4050000000000002</c:v>
                </c:pt>
                <c:pt idx="102">
                  <c:v>2.444</c:v>
                </c:pt>
                <c:pt idx="103">
                  <c:v>2.444</c:v>
                </c:pt>
                <c:pt idx="104">
                  <c:v>2.411</c:v>
                </c:pt>
                <c:pt idx="105">
                  <c:v>2.423</c:v>
                </c:pt>
                <c:pt idx="106">
                  <c:v>2.403</c:v>
                </c:pt>
                <c:pt idx="107">
                  <c:v>2.419</c:v>
                </c:pt>
                <c:pt idx="108">
                  <c:v>2.391</c:v>
                </c:pt>
                <c:pt idx="109">
                  <c:v>2.379</c:v>
                </c:pt>
                <c:pt idx="110">
                  <c:v>2.355</c:v>
                </c:pt>
                <c:pt idx="111">
                  <c:v>2.3929999999999998</c:v>
                </c:pt>
                <c:pt idx="112">
                  <c:v>2.496</c:v>
                </c:pt>
                <c:pt idx="113">
                  <c:v>2.5110000000000001</c:v>
                </c:pt>
                <c:pt idx="114">
                  <c:v>2.5249999999999999</c:v>
                </c:pt>
                <c:pt idx="115">
                  <c:v>2.5590000000000002</c:v>
                </c:pt>
                <c:pt idx="116">
                  <c:v>2.6840000000000002</c:v>
                </c:pt>
                <c:pt idx="117">
                  <c:v>2.6840000000000002</c:v>
                </c:pt>
                <c:pt idx="118">
                  <c:v>2.641</c:v>
                </c:pt>
                <c:pt idx="119">
                  <c:v>2.5190000000000001</c:v>
                </c:pt>
                <c:pt idx="120">
                  <c:v>2.532</c:v>
                </c:pt>
                <c:pt idx="121">
                  <c:v>2.5449999999999999</c:v>
                </c:pt>
                <c:pt idx="122">
                  <c:v>2.524</c:v>
                </c:pt>
                <c:pt idx="123">
                  <c:v>2.5</c:v>
                </c:pt>
                <c:pt idx="124">
                  <c:v>2.4779999999999998</c:v>
                </c:pt>
                <c:pt idx="125">
                  <c:v>2.4779999999999998</c:v>
                </c:pt>
                <c:pt idx="126">
                  <c:v>2.5470000000000002</c:v>
                </c:pt>
                <c:pt idx="127">
                  <c:v>2.536</c:v>
                </c:pt>
                <c:pt idx="128">
                  <c:v>2.5750000000000002</c:v>
                </c:pt>
                <c:pt idx="129">
                  <c:v>2.6219999999999999</c:v>
                </c:pt>
                <c:pt idx="130">
                  <c:v>2.6219999999999999</c:v>
                </c:pt>
                <c:pt idx="131">
                  <c:v>2.5529999999999999</c:v>
                </c:pt>
                <c:pt idx="132">
                  <c:v>2.5529999999999999</c:v>
                </c:pt>
                <c:pt idx="133">
                  <c:v>2.5789999999999997</c:v>
                </c:pt>
                <c:pt idx="134">
                  <c:v>2.5920000000000001</c:v>
                </c:pt>
                <c:pt idx="135">
                  <c:v>2.5830000000000002</c:v>
                </c:pt>
                <c:pt idx="136">
                  <c:v>2.5569999999999999</c:v>
                </c:pt>
                <c:pt idx="137">
                  <c:v>2.552</c:v>
                </c:pt>
                <c:pt idx="138">
                  <c:v>2.5419999999999998</c:v>
                </c:pt>
                <c:pt idx="139">
                  <c:v>2.5430000000000001</c:v>
                </c:pt>
                <c:pt idx="140">
                  <c:v>2.5230000000000001</c:v>
                </c:pt>
                <c:pt idx="141">
                  <c:v>2.516</c:v>
                </c:pt>
                <c:pt idx="142">
                  <c:v>2.5060000000000002</c:v>
                </c:pt>
                <c:pt idx="143">
                  <c:v>2.5190000000000001</c:v>
                </c:pt>
                <c:pt idx="144">
                  <c:v>2.508</c:v>
                </c:pt>
                <c:pt idx="145">
                  <c:v>2.512</c:v>
                </c:pt>
                <c:pt idx="146">
                  <c:v>2.4870000000000001</c:v>
                </c:pt>
                <c:pt idx="147">
                  <c:v>2.52</c:v>
                </c:pt>
                <c:pt idx="148">
                  <c:v>2.488</c:v>
                </c:pt>
                <c:pt idx="149">
                  <c:v>2.5089999999999999</c:v>
                </c:pt>
                <c:pt idx="150">
                  <c:v>2.4929999999999999</c:v>
                </c:pt>
                <c:pt idx="151">
                  <c:v>2.504</c:v>
                </c:pt>
                <c:pt idx="152">
                  <c:v>2.48</c:v>
                </c:pt>
                <c:pt idx="153">
                  <c:v>2.4609999999999999</c:v>
                </c:pt>
                <c:pt idx="154">
                  <c:v>2.399</c:v>
                </c:pt>
                <c:pt idx="155">
                  <c:v>2.3319999999999999</c:v>
                </c:pt>
                <c:pt idx="156">
                  <c:v>2.2759999999999998</c:v>
                </c:pt>
                <c:pt idx="157">
                  <c:v>2.2759999999999998</c:v>
                </c:pt>
                <c:pt idx="158">
                  <c:v>2.2410000000000001</c:v>
                </c:pt>
                <c:pt idx="159">
                  <c:v>2.234</c:v>
                </c:pt>
                <c:pt idx="160">
                  <c:v>2.266</c:v>
                </c:pt>
                <c:pt idx="161">
                  <c:v>2.27</c:v>
                </c:pt>
                <c:pt idx="162">
                  <c:v>2.3420000000000001</c:v>
                </c:pt>
                <c:pt idx="163">
                  <c:v>2.4510000000000001</c:v>
                </c:pt>
                <c:pt idx="164">
                  <c:v>2.3980000000000001</c:v>
                </c:pt>
                <c:pt idx="165">
                  <c:v>2.4020000000000001</c:v>
                </c:pt>
                <c:pt idx="166">
                  <c:v>2.4319999999999999</c:v>
                </c:pt>
                <c:pt idx="167">
                  <c:v>2.4329999999999998</c:v>
                </c:pt>
                <c:pt idx="168">
                  <c:v>2.4159999999999999</c:v>
                </c:pt>
                <c:pt idx="169">
                  <c:v>2.41</c:v>
                </c:pt>
                <c:pt idx="170">
                  <c:v>2.448</c:v>
                </c:pt>
                <c:pt idx="171">
                  <c:v>2.431</c:v>
                </c:pt>
                <c:pt idx="172">
                  <c:v>2.4300000000000002</c:v>
                </c:pt>
                <c:pt idx="173">
                  <c:v>2.4009999999999998</c:v>
                </c:pt>
                <c:pt idx="174">
                  <c:v>2.3780000000000001</c:v>
                </c:pt>
                <c:pt idx="175">
                  <c:v>2.3810000000000002</c:v>
                </c:pt>
                <c:pt idx="176">
                  <c:v>2.4020000000000001</c:v>
                </c:pt>
                <c:pt idx="177">
                  <c:v>2.423</c:v>
                </c:pt>
                <c:pt idx="178">
                  <c:v>2.423</c:v>
                </c:pt>
                <c:pt idx="179">
                  <c:v>2.46</c:v>
                </c:pt>
                <c:pt idx="180">
                  <c:v>2.4449999999999998</c:v>
                </c:pt>
                <c:pt idx="181">
                  <c:v>2.4380000000000002</c:v>
                </c:pt>
                <c:pt idx="182">
                  <c:v>2.4260000000000002</c:v>
                </c:pt>
                <c:pt idx="183">
                  <c:v>2.4289999999999998</c:v>
                </c:pt>
                <c:pt idx="184">
                  <c:v>2.411</c:v>
                </c:pt>
                <c:pt idx="185">
                  <c:v>2.3890000000000002</c:v>
                </c:pt>
                <c:pt idx="186">
                  <c:v>2.403</c:v>
                </c:pt>
                <c:pt idx="187">
                  <c:v>2.3959999999999999</c:v>
                </c:pt>
                <c:pt idx="188">
                  <c:v>2.4489999999999998</c:v>
                </c:pt>
                <c:pt idx="189">
                  <c:v>2.456</c:v>
                </c:pt>
                <c:pt idx="190">
                  <c:v>2.4489999999999998</c:v>
                </c:pt>
                <c:pt idx="191">
                  <c:v>2.4849999999999999</c:v>
                </c:pt>
                <c:pt idx="192">
                  <c:v>2.472</c:v>
                </c:pt>
                <c:pt idx="193">
                  <c:v>2.4750000000000001</c:v>
                </c:pt>
                <c:pt idx="194">
                  <c:v>2.46</c:v>
                </c:pt>
                <c:pt idx="195">
                  <c:v>2.427</c:v>
                </c:pt>
                <c:pt idx="196">
                  <c:v>2.3730000000000002</c:v>
                </c:pt>
                <c:pt idx="197">
                  <c:v>2.399</c:v>
                </c:pt>
                <c:pt idx="198">
                  <c:v>2.3769999999999998</c:v>
                </c:pt>
                <c:pt idx="199">
                  <c:v>2.3879999999999999</c:v>
                </c:pt>
                <c:pt idx="200">
                  <c:v>2.3929999999999998</c:v>
                </c:pt>
                <c:pt idx="201">
                  <c:v>2.3769999999999998</c:v>
                </c:pt>
                <c:pt idx="202">
                  <c:v>2.3420000000000001</c:v>
                </c:pt>
                <c:pt idx="203">
                  <c:v>2.3420000000000001</c:v>
                </c:pt>
                <c:pt idx="204">
                  <c:v>2.3250000000000002</c:v>
                </c:pt>
                <c:pt idx="205">
                  <c:v>2.3210000000000002</c:v>
                </c:pt>
                <c:pt idx="206">
                  <c:v>2.3260000000000001</c:v>
                </c:pt>
                <c:pt idx="207">
                  <c:v>2.298</c:v>
                </c:pt>
                <c:pt idx="208">
                  <c:v>2.2919999999999998</c:v>
                </c:pt>
                <c:pt idx="209">
                  <c:v>2.2970000000000002</c:v>
                </c:pt>
                <c:pt idx="210">
                  <c:v>2.3130000000000002</c:v>
                </c:pt>
                <c:pt idx="211">
                  <c:v>2.3180000000000001</c:v>
                </c:pt>
                <c:pt idx="212">
                  <c:v>2.3250000000000002</c:v>
                </c:pt>
                <c:pt idx="213">
                  <c:v>2.3319999999999999</c:v>
                </c:pt>
                <c:pt idx="214">
                  <c:v>2.339</c:v>
                </c:pt>
                <c:pt idx="215">
                  <c:v>2.3879999999999999</c:v>
                </c:pt>
                <c:pt idx="216">
                  <c:v>2.3879999999999999</c:v>
                </c:pt>
                <c:pt idx="217">
                  <c:v>2.3879999999999999</c:v>
                </c:pt>
                <c:pt idx="218">
                  <c:v>2.3879999999999999</c:v>
                </c:pt>
                <c:pt idx="219">
                  <c:v>2.3879999999999999</c:v>
                </c:pt>
                <c:pt idx="220">
                  <c:v>2.3879999999999999</c:v>
                </c:pt>
                <c:pt idx="221">
                  <c:v>2.3879999999999999</c:v>
                </c:pt>
                <c:pt idx="222">
                  <c:v>2.3879999999999999</c:v>
                </c:pt>
                <c:pt idx="223">
                  <c:v>2.3879999999999999</c:v>
                </c:pt>
                <c:pt idx="224">
                  <c:v>2.3879999999999999</c:v>
                </c:pt>
                <c:pt idx="225">
                  <c:v>2.3879999999999999</c:v>
                </c:pt>
                <c:pt idx="226">
                  <c:v>2.3879999999999999</c:v>
                </c:pt>
                <c:pt idx="227">
                  <c:v>2.3879999999999999</c:v>
                </c:pt>
                <c:pt idx="228">
                  <c:v>2.3879999999999999</c:v>
                </c:pt>
                <c:pt idx="229">
                  <c:v>2.3879999999999999</c:v>
                </c:pt>
                <c:pt idx="230">
                  <c:v>2.3879999999999999</c:v>
                </c:pt>
                <c:pt idx="231">
                  <c:v>2.3879999999999999</c:v>
                </c:pt>
                <c:pt idx="232">
                  <c:v>2.3879999999999999</c:v>
                </c:pt>
                <c:pt idx="233">
                  <c:v>2.3879999999999999</c:v>
                </c:pt>
                <c:pt idx="234">
                  <c:v>2.3879999999999999</c:v>
                </c:pt>
                <c:pt idx="235">
                  <c:v>2.3879999999999999</c:v>
                </c:pt>
                <c:pt idx="236">
                  <c:v>2.3879999999999999</c:v>
                </c:pt>
                <c:pt idx="237">
                  <c:v>2.3879999999999999</c:v>
                </c:pt>
                <c:pt idx="238">
                  <c:v>2.3879999999999999</c:v>
                </c:pt>
                <c:pt idx="239">
                  <c:v>2.3879999999999999</c:v>
                </c:pt>
                <c:pt idx="240">
                  <c:v>2.3879999999999999</c:v>
                </c:pt>
                <c:pt idx="241">
                  <c:v>2.3879999999999999</c:v>
                </c:pt>
                <c:pt idx="242">
                  <c:v>2.3879999999999999</c:v>
                </c:pt>
                <c:pt idx="243">
                  <c:v>2.3879999999999999</c:v>
                </c:pt>
                <c:pt idx="244">
                  <c:v>2.3879999999999999</c:v>
                </c:pt>
                <c:pt idx="245">
                  <c:v>2.3879999999999999</c:v>
                </c:pt>
                <c:pt idx="246">
                  <c:v>2.3879999999999999</c:v>
                </c:pt>
                <c:pt idx="247">
                  <c:v>2.3879999999999999</c:v>
                </c:pt>
                <c:pt idx="248">
                  <c:v>2.3879999999999999</c:v>
                </c:pt>
                <c:pt idx="249">
                  <c:v>2.3879999999999999</c:v>
                </c:pt>
                <c:pt idx="250">
                  <c:v>2.3879999999999999</c:v>
                </c:pt>
                <c:pt idx="251">
                  <c:v>2.3879999999999999</c:v>
                </c:pt>
                <c:pt idx="252">
                  <c:v>2.3879999999999999</c:v>
                </c:pt>
                <c:pt idx="253">
                  <c:v>2.3879999999999999</c:v>
                </c:pt>
                <c:pt idx="254">
                  <c:v>2.3879999999999999</c:v>
                </c:pt>
                <c:pt idx="255">
                  <c:v>2.3879999999999999</c:v>
                </c:pt>
                <c:pt idx="256">
                  <c:v>2.3879999999999999</c:v>
                </c:pt>
                <c:pt idx="257">
                  <c:v>2.3879999999999999</c:v>
                </c:pt>
                <c:pt idx="258">
                  <c:v>2.3879999999999999</c:v>
                </c:pt>
                <c:pt idx="259">
                  <c:v>2.3879999999999999</c:v>
                </c:pt>
                <c:pt idx="260">
                  <c:v>2.3879999999999999</c:v>
                </c:pt>
                <c:pt idx="261">
                  <c:v>2.3879999999999999</c:v>
                </c:pt>
              </c:numCache>
            </c:numRef>
          </c:val>
          <c:smooth val="0"/>
          <c:extLst>
            <c:ext xmlns:c16="http://schemas.microsoft.com/office/drawing/2014/chart" uri="{C3380CC4-5D6E-409C-BE32-E72D297353CC}">
              <c16:uniqueId val="{00000003-D95E-489D-AD08-E0C189E28758}"/>
            </c:ext>
          </c:extLst>
        </c:ser>
        <c:dLbls>
          <c:showLegendKey val="0"/>
          <c:showVal val="0"/>
          <c:showCatName val="0"/>
          <c:showSerName val="0"/>
          <c:showPercent val="0"/>
          <c:showBubbleSize val="0"/>
        </c:dLbls>
        <c:smooth val="0"/>
        <c:axId val="608252936"/>
        <c:axId val="608253720"/>
        <c:extLst/>
      </c:lineChart>
      <c:dateAx>
        <c:axId val="608252936"/>
        <c:scaling>
          <c:orientation val="minMax"/>
        </c:scaling>
        <c:delete val="0"/>
        <c:axPos val="b"/>
        <c:majorGridlines>
          <c:spPr>
            <a:ln w="9525" cap="flat" cmpd="sng" algn="ctr">
              <a:solidFill>
                <a:schemeClr val="tx1">
                  <a:lumMod val="15000"/>
                  <a:lumOff val="85000"/>
                </a:schemeClr>
              </a:solidFill>
              <a:round/>
            </a:ln>
            <a:effectLst/>
          </c:spPr>
        </c:majorGridlines>
        <c:numFmt formatCode="[$-409]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3720"/>
        <c:crosses val="autoZero"/>
        <c:auto val="1"/>
        <c:lblOffset val="100"/>
        <c:baseTimeUnit val="days"/>
        <c:majorUnit val="1"/>
        <c:majorTimeUnit val="months"/>
      </c:dateAx>
      <c:valAx>
        <c:axId val="60825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8658400458563"/>
          <c:y val="0.1243737544171479"/>
          <c:w val="0.77529912209249707"/>
          <c:h val="0.50249125843324272"/>
        </c:manualLayout>
      </c:layout>
      <c:barChart>
        <c:barDir val="col"/>
        <c:grouping val="clustered"/>
        <c:varyColors val="1"/>
        <c:ser>
          <c:idx val="0"/>
          <c:order val="0"/>
          <c:tx>
            <c:strRef>
              <c:f>'F2&amp;F3'!$D$4</c:f>
              <c:strCache>
                <c:ptCount val="1"/>
                <c:pt idx="0">
                  <c:v>Average Daily Turnover at NSE (LHS)</c:v>
                </c:pt>
              </c:strCache>
            </c:strRef>
          </c:tx>
          <c:spPr>
            <a:solidFill>
              <a:srgbClr val="7030A0"/>
            </a:solidFill>
          </c:spPr>
          <c:invertIfNegative val="1"/>
          <c:dLbls>
            <c:dLbl>
              <c:idx val="11"/>
              <c:layout>
                <c:manualLayout>
                  <c:x val="2.2897998187173516E-2"/>
                  <c:y val="-5.65276237960524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4-445F-B4E4-CB29875F9CA2}"/>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'F2&amp;F3'!$D$14:$D$25</c:f>
              <c:numCache>
                <c:formatCode>#,##0</c:formatCode>
                <c:ptCount val="12"/>
                <c:pt idx="0">
                  <c:v>35015.085542821784</c:v>
                </c:pt>
                <c:pt idx="1">
                  <c:v>39838.41244</c:v>
                </c:pt>
                <c:pt idx="2">
                  <c:v>47916.596666666665</c:v>
                </c:pt>
                <c:pt idx="3">
                  <c:v>50322.35</c:v>
                </c:pt>
                <c:pt idx="4">
                  <c:v>52655.6</c:v>
                </c:pt>
                <c:pt idx="5">
                  <c:v>61394.58</c:v>
                </c:pt>
                <c:pt idx="6" formatCode="[&gt;=10000000]#\,##\,##\,##0;[&gt;=100000]#\,##\,##0;##,##0">
                  <c:v>58631.347159999998</c:v>
                </c:pt>
                <c:pt idx="7" formatCode="[&gt;=10000000]#\,##\,##\,##0;[&gt;=100000]#\,##\,##0;##,##0">
                  <c:v>61074.12</c:v>
                </c:pt>
                <c:pt idx="8" formatCode="[&gt;=10000000]#\,##\,##\,##0;[&gt;=100000]#\,##\,##0;##,##0">
                  <c:v>55605.851524328958</c:v>
                </c:pt>
                <c:pt idx="9" formatCode="[&gt;=10000000]#\,##\,##\,##0;[&gt;=100000]#\,##\,##0;##,##0">
                  <c:v>52327.798311617102</c:v>
                </c:pt>
                <c:pt idx="10" formatCode="[&gt;=10000000]#\,##\,##\,##0;[&gt;=100000]#\,##\,##0;##,##0">
                  <c:v>66863.595756470837</c:v>
                </c:pt>
                <c:pt idx="11" formatCode="[&gt;=10000000]#\,##\,##\,##0;[&gt;=100000]#\,##\,##0;##,##0">
                  <c:v>62479.615040464567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4C4-445F-B4E4-CB29875F9CA2}"/>
            </c:ext>
          </c:extLst>
        </c:ser>
        <c:dLbls>
          <c:showLegendKey val="0"/>
          <c:showVal val="0"/>
          <c:showCatName val="0"/>
          <c:showSerName val="0"/>
          <c:showPercent val="0"/>
          <c:showBubbleSize val="0"/>
        </c:dLbls>
        <c:gapWidth val="150"/>
        <c:axId val="482365416"/>
        <c:axId val="482365808"/>
      </c:barChart>
      <c:lineChart>
        <c:grouping val="standard"/>
        <c:varyColors val="0"/>
        <c:ser>
          <c:idx val="1"/>
          <c:order val="1"/>
          <c:tx>
            <c:strRef>
              <c:f>'F2&amp;F3'!$E$4</c:f>
              <c:strCache>
                <c:ptCount val="1"/>
                <c:pt idx="0">
                  <c:v>Average Daily Value of Nifty (RHS)</c:v>
                </c:pt>
              </c:strCache>
            </c:strRef>
          </c:tx>
          <c:spPr>
            <a:ln w="19050" cmpd="sng">
              <a:solidFill>
                <a:srgbClr val="7C4B23"/>
              </a:solidFill>
              <a:prstDash val="solid"/>
            </a:ln>
          </c:spPr>
          <c:marker>
            <c:symbol val="circle"/>
            <c:size val="7"/>
            <c:spPr>
              <a:solidFill>
                <a:srgbClr val="FF0000"/>
              </a:solidFill>
              <a:ln cmpd="sng">
                <a:solidFill>
                  <a:srgbClr val="7C4B23"/>
                </a:solidFill>
              </a:ln>
            </c:spPr>
          </c:marker>
          <c:cat>
            <c:numRef>
              <c:f>'F2&amp;F3'!$A$14:$A$25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'F2&amp;F3'!$E$14:$E$25</c:f>
              <c:numCache>
                <c:formatCode>#,##0</c:formatCode>
                <c:ptCount val="12"/>
                <c:pt idx="0">
                  <c:v>12183.065217391302</c:v>
                </c:pt>
                <c:pt idx="1">
                  <c:v>11934.472499999998</c:v>
                </c:pt>
                <c:pt idx="2">
                  <c:v>9426.3119047619057</c:v>
                </c:pt>
                <c:pt idx="3">
                  <c:v>9063.58</c:v>
                </c:pt>
                <c:pt idx="4">
                  <c:v>9192.01</c:v>
                </c:pt>
                <c:pt idx="5">
                  <c:v>10116.450000000001</c:v>
                </c:pt>
                <c:pt idx="6">
                  <c:v>10897.695652173914</c:v>
                </c:pt>
                <c:pt idx="7" formatCode="[&gt;=10000000]#\,##\,##\,##0;[&gt;=100000]#\,##\,##0;##,##0">
                  <c:v>11318.57</c:v>
                </c:pt>
                <c:pt idx="8" formatCode="[&gt;=10000000]#\,##\,##\,##0;[&gt;=100000]#\,##\,##0;##,##0">
                  <c:v>11336.702272727271</c:v>
                </c:pt>
                <c:pt idx="9" formatCode="[&gt;=10000000]#\,##\,##\,##0;[&gt;=100000]#\,##\,##0;##,##0">
                  <c:v>11789.709523809524</c:v>
                </c:pt>
                <c:pt idx="10" formatCode="[&gt;=10000000]#\,##\,##\,##0;[&gt;=100000]#\,##\,##0;##,##0">
                  <c:v>12602.3225</c:v>
                </c:pt>
                <c:pt idx="11" formatCode="[&gt;=10000000]#\,##\,##\,##0;[&gt;=100000]#\,##\,##0;##,##0">
                  <c:v>13550.44090909091</c:v>
                </c:pt>
              </c:numCache>
            </c:numRef>
          </c:val>
          <c:smooth val="0"/>
          <c:extLst>
            <c:ext xmlns:c16="http://schemas.microsoft.com/office/drawing/2014/chart" uri="{C3380CC4-5D6E-409C-BE32-E72D297353CC}">
              <c16:uniqueId val="{00000002-D4C4-445F-B4E4-CB29875F9CA2}"/>
            </c:ext>
          </c:extLst>
        </c:ser>
        <c:dLbls>
          <c:showLegendKey val="0"/>
          <c:showVal val="0"/>
          <c:showCatName val="0"/>
          <c:showSerName val="0"/>
          <c:showPercent val="0"/>
          <c:showBubbleSize val="0"/>
        </c:dLbls>
        <c:marker val="1"/>
        <c:smooth val="0"/>
        <c:axId val="482366592"/>
        <c:axId val="482369336"/>
      </c:lineChart>
      <c:dateAx>
        <c:axId val="482365416"/>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482365808"/>
        <c:crosses val="autoZero"/>
        <c:auto val="1"/>
        <c:lblOffset val="100"/>
        <c:baseTimeUnit val="months"/>
      </c:dateAx>
      <c:valAx>
        <c:axId val="482365808"/>
        <c:scaling>
          <c:orientation val="minMax"/>
          <c:min val="28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b="0"/>
                  <a:t>₹</a:t>
                </a:r>
                <a:r>
                  <a:rPr lang="en-IN" b="0"/>
                  <a:t> crore</a:t>
                </a:r>
              </a:p>
            </c:rich>
          </c:tx>
          <c:layout>
            <c:manualLayout>
              <c:xMode val="edge"/>
              <c:yMode val="edge"/>
              <c:x val="1.3539536006275077E-2"/>
              <c:y val="0.29672811140244509"/>
            </c:manualLayout>
          </c:layout>
          <c:overlay val="0"/>
        </c:title>
        <c:numFmt formatCode="#,##0" sourceLinked="1"/>
        <c:majorTickMark val="cross"/>
        <c:minorTickMark val="cross"/>
        <c:tickLblPos val="nextTo"/>
        <c:spPr>
          <a:ln w="47625">
            <a:noFill/>
          </a:ln>
        </c:spPr>
        <c:crossAx val="482365416"/>
        <c:crosses val="autoZero"/>
        <c:crossBetween val="between"/>
      </c:valAx>
      <c:dateAx>
        <c:axId val="482366592"/>
        <c:scaling>
          <c:orientation val="minMax"/>
        </c:scaling>
        <c:delete val="1"/>
        <c:axPos val="b"/>
        <c:numFmt formatCode="[$-409]mmm\-yy" sourceLinked="1"/>
        <c:majorTickMark val="cross"/>
        <c:minorTickMark val="cross"/>
        <c:tickLblPos val="nextTo"/>
        <c:crossAx val="482369336"/>
        <c:crosses val="autoZero"/>
        <c:auto val="1"/>
        <c:lblOffset val="100"/>
        <c:baseTimeUnit val="months"/>
      </c:dateAx>
      <c:valAx>
        <c:axId val="482369336"/>
        <c:scaling>
          <c:orientation val="minMax"/>
          <c:min val="9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0" sourceLinked="1"/>
        <c:majorTickMark val="cross"/>
        <c:minorTickMark val="cross"/>
        <c:tickLblPos val="nextTo"/>
        <c:spPr>
          <a:ln w="47625">
            <a:noFill/>
          </a:ln>
        </c:spPr>
        <c:crossAx val="482366592"/>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08669311072959"/>
          <c:y val="0.11732041864263536"/>
          <c:w val="0.76243190653799853"/>
          <c:h val="0.5511761908103513"/>
        </c:manualLayout>
      </c:layout>
      <c:barChart>
        <c:barDir val="col"/>
        <c:grouping val="clustered"/>
        <c:varyColors val="1"/>
        <c:ser>
          <c:idx val="0"/>
          <c:order val="0"/>
          <c:tx>
            <c:strRef>
              <c:f>'F2&amp;F3'!$B$4</c:f>
              <c:strCache>
                <c:ptCount val="1"/>
                <c:pt idx="0">
                  <c:v>Average Daily Turnover at BSE (LHS)</c:v>
                </c:pt>
              </c:strCache>
            </c:strRef>
          </c:tx>
          <c:spPr>
            <a:solidFill>
              <a:srgbClr val="7030A0"/>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'F2&amp;F3'!$B$14:$B$25</c:f>
              <c:numCache>
                <c:formatCode>[&gt;=10000000]#\,##\,##\,##0;[&gt;=100000]#\,##\,##0;##,##0</c:formatCode>
                <c:ptCount val="12"/>
                <c:pt idx="0">
                  <c:v>2428.0769565217392</c:v>
                </c:pt>
                <c:pt idx="1">
                  <c:v>2785.4995000000004</c:v>
                </c:pt>
                <c:pt idx="2">
                  <c:v>3903.431428571429</c:v>
                </c:pt>
                <c:pt idx="3">
                  <c:v>2470.91</c:v>
                </c:pt>
                <c:pt idx="4">
                  <c:v>3422.05</c:v>
                </c:pt>
                <c:pt idx="5">
                  <c:v>5008.76</c:v>
                </c:pt>
                <c:pt idx="6">
                  <c:v>3482.2930434782606</c:v>
                </c:pt>
                <c:pt idx="7">
                  <c:v>4432.38</c:v>
                </c:pt>
                <c:pt idx="8">
                  <c:v>3182.9668181818183</c:v>
                </c:pt>
                <c:pt idx="9">
                  <c:v>2755.5385714285712</c:v>
                </c:pt>
                <c:pt idx="10">
                  <c:v>3533.7944999999991</c:v>
                </c:pt>
                <c:pt idx="11">
                  <c:v>4518.8545454545456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3E8-4C1A-A127-0E5EF89A76C7}"/>
            </c:ext>
          </c:extLst>
        </c:ser>
        <c:dLbls>
          <c:showLegendKey val="0"/>
          <c:showVal val="0"/>
          <c:showCatName val="0"/>
          <c:showSerName val="0"/>
          <c:showPercent val="0"/>
          <c:showBubbleSize val="0"/>
        </c:dLbls>
        <c:gapWidth val="150"/>
        <c:axId val="482372080"/>
        <c:axId val="482372864"/>
      </c:barChart>
      <c:lineChart>
        <c:grouping val="standard"/>
        <c:varyColors val="0"/>
        <c:ser>
          <c:idx val="1"/>
          <c:order val="1"/>
          <c:tx>
            <c:strRef>
              <c:f>'F2&amp;F3'!$C$4</c:f>
              <c:strCache>
                <c:ptCount val="1"/>
                <c:pt idx="0">
                  <c:v>Average Daily Value of Sensex (RHS)</c:v>
                </c:pt>
              </c:strCache>
            </c:strRef>
          </c:tx>
          <c:spPr>
            <a:ln w="19050" cmpd="sng">
              <a:solidFill>
                <a:schemeClr val="accent6">
                  <a:lumMod val="50000"/>
                </a:schemeClr>
              </a:solidFill>
              <a:prstDash val="solid"/>
            </a:ln>
          </c:spPr>
          <c:marker>
            <c:symbol val="circle"/>
            <c:size val="7"/>
            <c:spPr>
              <a:solidFill>
                <a:srgbClr val="FF0000"/>
              </a:solidFill>
              <a:ln cmpd="sng">
                <a:solidFill>
                  <a:schemeClr val="accent6">
                    <a:lumMod val="50000"/>
                  </a:schemeClr>
                </a:solidFill>
              </a:ln>
            </c:spPr>
          </c:marker>
          <c:cat>
            <c:numRef>
              <c:f>'F2&amp;F3'!$A$14:$A$25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'F2&amp;F3'!$C$14:$C$25</c:f>
              <c:numCache>
                <c:formatCode>#,##0</c:formatCode>
                <c:ptCount val="12"/>
                <c:pt idx="0">
                  <c:v>41360.947826086951</c:v>
                </c:pt>
                <c:pt idx="1">
                  <c:v>40674.324000000001</c:v>
                </c:pt>
                <c:pt idx="2" formatCode="[&gt;=10000000]#\,##\,##\,##0;[&gt;=100000]#\,##\,##0;##,##0">
                  <c:v>32254.451428571429</c:v>
                </c:pt>
                <c:pt idx="3" formatCode="[&gt;=10000000]#\,##\,##\,##0;[&gt;=100000]#\,##\,##0;##,##0">
                  <c:v>30966</c:v>
                </c:pt>
                <c:pt idx="4" formatCode="[&gt;=10000000]#\,##\,##\,##0;[&gt;=100000]#\,##\,##0;##,##0">
                  <c:v>31294</c:v>
                </c:pt>
                <c:pt idx="5" formatCode="[&gt;=10000000]#\,##\,##\,##0;[&gt;=100000]#\,##\,##0;##,##0">
                  <c:v>34263</c:v>
                </c:pt>
                <c:pt idx="6" formatCode="0">
                  <c:v>37030.641739130428</c:v>
                </c:pt>
                <c:pt idx="7" formatCode="[&gt;=10000000]#\,##\,##\,##0;[&gt;=100000]#\,##\,##0;##,##0">
                  <c:v>38347</c:v>
                </c:pt>
                <c:pt idx="8" formatCode="[&gt;=10000000]#\,##\,##\,##0;[&gt;=100000]#\,##\,##0;##,##0">
                  <c:v>38378.977272727272</c:v>
                </c:pt>
                <c:pt idx="9" formatCode="[&gt;=10000000]#\,##\,##\,##0;[&gt;=100000]#\,##\,##0;##,##0">
                  <c:v>40115.386666666658</c:v>
                </c:pt>
                <c:pt idx="10" formatCode="[&gt;=10000000]#\,##\,##\,##0;[&gt;=100000]#\,##\,##0;##,##0">
                  <c:v>43011.3845</c:v>
                </c:pt>
                <c:pt idx="11" formatCode="[&gt;=10000000]#\,##\,##\,##0;[&gt;=100000]#\,##\,##0;##,##0">
                  <c:v>46211.837272727265</c:v>
                </c:pt>
              </c:numCache>
            </c:numRef>
          </c:val>
          <c:smooth val="0"/>
          <c:extLst>
            <c:ext xmlns:c16="http://schemas.microsoft.com/office/drawing/2014/chart" uri="{C3380CC4-5D6E-409C-BE32-E72D297353CC}">
              <c16:uniqueId val="{00000001-C3E8-4C1A-A127-0E5EF89A76C7}"/>
            </c:ext>
          </c:extLst>
        </c:ser>
        <c:dLbls>
          <c:showLegendKey val="0"/>
          <c:showVal val="0"/>
          <c:showCatName val="0"/>
          <c:showSerName val="0"/>
          <c:showPercent val="0"/>
          <c:showBubbleSize val="0"/>
        </c:dLbls>
        <c:marker val="1"/>
        <c:smooth val="0"/>
        <c:axId val="482372472"/>
        <c:axId val="482368160"/>
      </c:lineChart>
      <c:dateAx>
        <c:axId val="482372080"/>
        <c:scaling>
          <c:orientation val="minMax"/>
        </c:scaling>
        <c:delete val="0"/>
        <c:axPos val="b"/>
        <c:title>
          <c:tx>
            <c:rich>
              <a:bodyPr/>
              <a:lstStyle/>
              <a:p>
                <a:pPr lvl="0">
                  <a:defRPr b="0">
                    <a:solidFill>
                      <a:srgbClr val="000000"/>
                    </a:solidFill>
                    <a:latin typeface="Roboto"/>
                  </a:defRPr>
                </a:pPr>
                <a:endParaRPr lang="en-IN"/>
              </a:p>
            </c:rich>
          </c:tx>
          <c:overlay val="0"/>
        </c:title>
        <c:numFmt formatCode="[$-409]mmm\-yy" sourceLinked="1"/>
        <c:majorTickMark val="cross"/>
        <c:minorTickMark val="cross"/>
        <c:tickLblPos val="nextTo"/>
        <c:txPr>
          <a:bodyPr rot="-5400000"/>
          <a:lstStyle/>
          <a:p>
            <a:pPr lvl="0">
              <a:defRPr sz="900" b="0" i="0">
                <a:solidFill>
                  <a:srgbClr val="000000"/>
                </a:solidFill>
                <a:latin typeface="Palatino Linotype" panose="02040502050505030304" pitchFamily="18" charset="0"/>
              </a:defRPr>
            </a:pPr>
            <a:endParaRPr lang="en-US"/>
          </a:p>
        </c:txPr>
        <c:crossAx val="482372864"/>
        <c:crosses val="autoZero"/>
        <c:auto val="1"/>
        <c:lblOffset val="100"/>
        <c:baseTimeUnit val="months"/>
      </c:dateAx>
      <c:valAx>
        <c:axId val="482372864"/>
        <c:scaling>
          <c:orientation val="minMax"/>
          <c:max val="4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lvl="0">
                  <a:defRPr sz="900" b="0" i="0">
                    <a:solidFill>
                      <a:srgbClr val="000000"/>
                    </a:solidFill>
                    <a:latin typeface="Palatino Linotype" panose="02040502050505030304" pitchFamily="18" charset="0"/>
                  </a:defRPr>
                </a:pPr>
                <a:r>
                  <a:rPr lang="en-IN" sz="900" b="0" baseline="0">
                    <a:latin typeface="Palatino Linotype" panose="02040502050505030304" pitchFamily="18" charset="0"/>
                  </a:rPr>
                  <a:t> </a:t>
                </a:r>
                <a:r>
                  <a:rPr lang="en-GB" sz="900" b="0" i="0" u="none" strike="noStrike" baseline="0">
                    <a:effectLst/>
                    <a:latin typeface="Palatino Linotype" panose="02040502050505030304" pitchFamily="18" charset="0"/>
                  </a:rPr>
                  <a:t>₹ </a:t>
                </a:r>
                <a:r>
                  <a:rPr lang="en-IN" sz="900" b="0">
                    <a:latin typeface="Palatino Linotype" panose="02040502050505030304" pitchFamily="18" charset="0"/>
                  </a:rPr>
                  <a:t>crore</a:t>
                </a:r>
              </a:p>
            </c:rich>
          </c:tx>
          <c:layout>
            <c:manualLayout>
              <c:xMode val="edge"/>
              <c:yMode val="edge"/>
              <c:x val="1.2416395319006178E-2"/>
              <c:y val="0.31596108100191905"/>
            </c:manualLayout>
          </c:layout>
          <c:overlay val="0"/>
        </c:title>
        <c:numFmt formatCode="[&gt;=10000000]#\,##\,##\,##0;[&gt;=100000]#\,##\,##0;##,##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080"/>
        <c:crosses val="autoZero"/>
        <c:crossBetween val="between"/>
      </c:valAx>
      <c:dateAx>
        <c:axId val="482372472"/>
        <c:scaling>
          <c:orientation val="minMax"/>
        </c:scaling>
        <c:delete val="1"/>
        <c:axPos val="b"/>
        <c:numFmt formatCode="[$-409]mmm\-yy" sourceLinked="1"/>
        <c:majorTickMark val="cross"/>
        <c:minorTickMark val="cross"/>
        <c:tickLblPos val="nextTo"/>
        <c:crossAx val="482368160"/>
        <c:crosses val="autoZero"/>
        <c:auto val="1"/>
        <c:lblOffset val="100"/>
        <c:baseTimeUnit val="months"/>
      </c:dateAx>
      <c:valAx>
        <c:axId val="482368160"/>
        <c:scaling>
          <c:orientation val="minMax"/>
          <c:max val="43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IN"/>
              </a:p>
            </c:rich>
          </c:tx>
          <c:overlay val="0"/>
        </c:title>
        <c:numFmt formatCode="#,##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482372472"/>
        <c:crosses val="max"/>
        <c:crossBetween val="between"/>
      </c:valAx>
      <c:spPr>
        <a:solidFill>
          <a:srgbClr val="FFFFFF"/>
        </a:solidFill>
      </c:spPr>
    </c:plotArea>
    <c:legend>
      <c:legendPos val="b"/>
      <c:overlay val="0"/>
      <c:txPr>
        <a:bodyPr/>
        <a:lstStyle/>
        <a:p>
          <a:pPr lvl="0">
            <a:defRPr sz="900" b="0" i="0">
              <a:solidFill>
                <a:srgbClr val="000000"/>
              </a:solidFill>
              <a:latin typeface="Palatino Linotype" panose="02040502050505030304" pitchFamily="18" charset="0"/>
            </a:defRPr>
          </a:pPr>
          <a:endParaRPr lang="en-US"/>
        </a:p>
      </c:txPr>
    </c:legend>
    <c:plotVisOnly val="1"/>
    <c:dispBlanksAs val="zero"/>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191808635016"/>
          <c:y val="9.8998664796300345E-2"/>
          <c:w val="0.77377382667334749"/>
          <c:h val="0.47451929963971129"/>
        </c:manualLayout>
      </c:layout>
      <c:barChart>
        <c:barDir val="col"/>
        <c:grouping val="clustered"/>
        <c:varyColors val="0"/>
        <c:ser>
          <c:idx val="0"/>
          <c:order val="0"/>
          <c:tx>
            <c:strRef>
              <c:f>'F4&amp;F5'!$B$4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'F4&amp;F5'!$B$5:$B$19</c:f>
              <c:numCache>
                <c:formatCode>0.0_ ;[Red]\-0.0\ </c:formatCode>
                <c:ptCount val="15"/>
                <c:pt idx="0">
                  <c:v>6.9328395375792944</c:v>
                </c:pt>
                <c:pt idx="1">
                  <c:v>6.7771710445109585</c:v>
                </c:pt>
                <c:pt idx="2">
                  <c:v>6.5439289186464134</c:v>
                </c:pt>
                <c:pt idx="3">
                  <c:v>6.468291530697301</c:v>
                </c:pt>
                <c:pt idx="4">
                  <c:v>6.8041662554836808</c:v>
                </c:pt>
                <c:pt idx="5">
                  <c:v>6.3778725025039593</c:v>
                </c:pt>
                <c:pt idx="6">
                  <c:v>12.556053977726163</c:v>
                </c:pt>
                <c:pt idx="7">
                  <c:v>9.2790645205860258</c:v>
                </c:pt>
                <c:pt idx="8">
                  <c:v>5.2517325215483783</c:v>
                </c:pt>
                <c:pt idx="9">
                  <c:v>8.7197356539997486</c:v>
                </c:pt>
                <c:pt idx="10">
                  <c:v>7.4926236586823389</c:v>
                </c:pt>
                <c:pt idx="11">
                  <c:v>11.828165355993177</c:v>
                </c:pt>
                <c:pt idx="12">
                  <c:v>7.5490792467291383</c:v>
                </c:pt>
                <c:pt idx="13">
                  <c:v>2.1711233655880497</c:v>
                </c:pt>
                <c:pt idx="14">
                  <c:v>5.2142112588296428</c:v>
                </c:pt>
              </c:numCache>
            </c:numRef>
          </c:val>
          <c:extLst>
            <c:ext xmlns:c16="http://schemas.microsoft.com/office/drawing/2014/chart" uri="{C3380CC4-5D6E-409C-BE32-E72D297353CC}">
              <c16:uniqueId val="{00000000-8C97-4CFF-A19E-9FE4A8B35227}"/>
            </c:ext>
          </c:extLst>
        </c:ser>
        <c:dLbls>
          <c:showLegendKey val="0"/>
          <c:showVal val="0"/>
          <c:showCatName val="0"/>
          <c:showSerName val="0"/>
          <c:showPercent val="0"/>
          <c:showBubbleSize val="0"/>
        </c:dLbls>
        <c:gapWidth val="219"/>
        <c:axId val="482366984"/>
        <c:axId val="482367376"/>
      </c:barChart>
      <c:lineChart>
        <c:grouping val="standard"/>
        <c:varyColors val="0"/>
        <c:ser>
          <c:idx val="1"/>
          <c:order val="1"/>
          <c:tx>
            <c:strRef>
              <c:f>'F4&amp;F5'!$C$4</c:f>
              <c:strCache>
                <c:ptCount val="1"/>
                <c:pt idx="0">
                  <c:v>Volatility (RHS)</c:v>
                </c:pt>
              </c:strCache>
            </c:strRef>
          </c:tx>
          <c:spPr>
            <a:ln w="28575" cap="rnd">
              <a:solidFill>
                <a:srgbClr val="FF0000"/>
              </a:solidFill>
              <a:round/>
            </a:ln>
            <a:effectLst/>
          </c:spPr>
          <c:marker>
            <c:symbol val="none"/>
          </c:marker>
          <c:cat>
            <c:strRef>
              <c:f>'F4&amp;F5'!$A$5:$A$19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'F4&amp;F5'!$C$5:$C$19</c:f>
              <c:numCache>
                <c:formatCode>0.0_ ;[Red]\-0.0\ </c:formatCode>
                <c:ptCount val="15"/>
                <c:pt idx="0">
                  <c:v>0.88076183309219547</c:v>
                </c:pt>
                <c:pt idx="1">
                  <c:v>0.93281910840104454</c:v>
                </c:pt>
                <c:pt idx="2">
                  <c:v>0.95101598618956962</c:v>
                </c:pt>
                <c:pt idx="3">
                  <c:v>0.97900855831960754</c:v>
                </c:pt>
                <c:pt idx="4">
                  <c:v>0.92728621737395522</c:v>
                </c:pt>
                <c:pt idx="5">
                  <c:v>1.3387121483811482</c:v>
                </c:pt>
                <c:pt idx="6">
                  <c:v>1.2542294658008923</c:v>
                </c:pt>
                <c:pt idx="7">
                  <c:v>1.11784153325638</c:v>
                </c:pt>
                <c:pt idx="8">
                  <c:v>1.2668599915219172</c:v>
                </c:pt>
                <c:pt idx="9">
                  <c:v>1.0466859219857212</c:v>
                </c:pt>
                <c:pt idx="10">
                  <c:v>1.1558900640676921</c:v>
                </c:pt>
                <c:pt idx="11">
                  <c:v>1.940812501784507</c:v>
                </c:pt>
                <c:pt idx="12">
                  <c:v>1.8924666206420842</c:v>
                </c:pt>
                <c:pt idx="13">
                  <c:v>1.337034008960887</c:v>
                </c:pt>
                <c:pt idx="14">
                  <c:v>1.1361901641705803</c:v>
                </c:pt>
              </c:numCache>
            </c:numRef>
          </c:val>
          <c:smooth val="0"/>
          <c:extLst>
            <c:ext xmlns:c16="http://schemas.microsoft.com/office/drawing/2014/chart" uri="{C3380CC4-5D6E-409C-BE32-E72D297353CC}">
              <c16:uniqueId val="{00000001-8C97-4CFF-A19E-9FE4A8B35227}"/>
            </c:ext>
          </c:extLst>
        </c:ser>
        <c:dLbls>
          <c:showLegendKey val="0"/>
          <c:showVal val="0"/>
          <c:showCatName val="0"/>
          <c:showSerName val="0"/>
          <c:showPercent val="0"/>
          <c:showBubbleSize val="0"/>
        </c:dLbls>
        <c:marker val="1"/>
        <c:smooth val="0"/>
        <c:axId val="482370120"/>
        <c:axId val="482367768"/>
      </c:lineChart>
      <c:catAx>
        <c:axId val="482366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67376"/>
        <c:crosses val="autoZero"/>
        <c:auto val="1"/>
        <c:lblAlgn val="ctr"/>
        <c:lblOffset val="100"/>
        <c:noMultiLvlLbl val="1"/>
      </c:catAx>
      <c:valAx>
        <c:axId val="48236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66984"/>
        <c:crosses val="autoZero"/>
        <c:crossBetween val="between"/>
      </c:valAx>
      <c:valAx>
        <c:axId val="482367768"/>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Volatility </a:t>
                </a:r>
              </a:p>
            </c:rich>
          </c:tx>
          <c:layout>
            <c:manualLayout>
              <c:xMode val="edge"/>
              <c:yMode val="edge"/>
              <c:x val="0.95368321659483191"/>
              <c:y val="0.25829603412067109"/>
            </c:manualLayout>
          </c:layout>
          <c:overlay val="0"/>
          <c:spPr>
            <a:noFill/>
            <a:ln>
              <a:noFill/>
            </a:ln>
            <a:effectLst/>
          </c:spPr>
          <c:txPr>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482370120"/>
        <c:crosses val="max"/>
        <c:crossBetween val="between"/>
      </c:valAx>
      <c:catAx>
        <c:axId val="482370120"/>
        <c:scaling>
          <c:orientation val="minMax"/>
        </c:scaling>
        <c:delete val="1"/>
        <c:axPos val="b"/>
        <c:numFmt formatCode="General" sourceLinked="1"/>
        <c:majorTickMark val="out"/>
        <c:minorTickMark val="none"/>
        <c:tickLblPos val="nextTo"/>
        <c:crossAx val="482367768"/>
        <c:crosses val="autoZero"/>
        <c:auto val="1"/>
        <c:lblAlgn val="ctr"/>
        <c:lblOffset val="100"/>
        <c:noMultiLvlLbl val="1"/>
      </c:catAx>
      <c:spPr>
        <a:noFill/>
        <a:ln>
          <a:noFill/>
        </a:ln>
        <a:effectLst/>
      </c:spPr>
    </c:plotArea>
    <c:legend>
      <c:legendPos val="b"/>
      <c:layout>
        <c:manualLayout>
          <c:xMode val="edge"/>
          <c:yMode val="edge"/>
          <c:x val="0.35777354934809497"/>
          <c:y val="0.92661523798651602"/>
          <c:w val="0.44351205543007188"/>
          <c:h val="5.6061250990576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50000"/>
          <a:lumOff val="50000"/>
        </a:schemeClr>
      </a:solidFill>
      <a:prstDash val="solid"/>
      <a:roun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67967591007646"/>
          <c:y val="0.10059439185408688"/>
          <c:w val="0.78229225648745326"/>
          <c:h val="0.51596793569973398"/>
        </c:manualLayout>
      </c:layout>
      <c:barChart>
        <c:barDir val="col"/>
        <c:grouping val="clustered"/>
        <c:varyColors val="0"/>
        <c:ser>
          <c:idx val="0"/>
          <c:order val="0"/>
          <c:tx>
            <c:strRef>
              <c:f>'F4&amp;F5'!$E$4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'F4&amp;F5'!$E$5:$E$19</c:f>
              <c:numCache>
                <c:formatCode>0.0_ ;[Red]\-0.0\ </c:formatCode>
                <c:ptCount val="15"/>
                <c:pt idx="0">
                  <c:v>6.6572329802693622</c:v>
                </c:pt>
                <c:pt idx="1">
                  <c:v>5.7714895541521427</c:v>
                </c:pt>
                <c:pt idx="2">
                  <c:v>6.5406745956735692</c:v>
                </c:pt>
                <c:pt idx="3">
                  <c:v>6.3296722685368971</c:v>
                </c:pt>
                <c:pt idx="4">
                  <c:v>6.3049427096071549</c:v>
                </c:pt>
                <c:pt idx="5">
                  <c:v>5.0404235529798989</c:v>
                </c:pt>
                <c:pt idx="6">
                  <c:v>4.7156587402468784</c:v>
                </c:pt>
                <c:pt idx="7">
                  <c:v>6.8528052705768863</c:v>
                </c:pt>
                <c:pt idx="8">
                  <c:v>4.8501149479254897</c:v>
                </c:pt>
                <c:pt idx="9">
                  <c:v>9.3836966474071737</c:v>
                </c:pt>
                <c:pt idx="10">
                  <c:v>7.7963428769683212</c:v>
                </c:pt>
                <c:pt idx="11">
                  <c:v>7.2290506967534656</c:v>
                </c:pt>
                <c:pt idx="12">
                  <c:v>9.3216903165445224</c:v>
                </c:pt>
                <c:pt idx="13">
                  <c:v>7.711150303742893</c:v>
                </c:pt>
                <c:pt idx="14">
                  <c:v>4.6140325668897813</c:v>
                </c:pt>
              </c:numCache>
            </c:numRef>
          </c:val>
          <c:extLst>
            <c:ext xmlns:c16="http://schemas.microsoft.com/office/drawing/2014/chart" uri="{C3380CC4-5D6E-409C-BE32-E72D297353CC}">
              <c16:uniqueId val="{00000000-6929-448C-8CE1-05EA5A2A2AA4}"/>
            </c:ext>
          </c:extLst>
        </c:ser>
        <c:dLbls>
          <c:showLegendKey val="0"/>
          <c:showVal val="0"/>
          <c:showCatName val="0"/>
          <c:showSerName val="0"/>
          <c:showPercent val="0"/>
          <c:showBubbleSize val="0"/>
        </c:dLbls>
        <c:gapWidth val="219"/>
        <c:axId val="483919688"/>
        <c:axId val="483917336"/>
      </c:barChart>
      <c:lineChart>
        <c:grouping val="standard"/>
        <c:varyColors val="0"/>
        <c:ser>
          <c:idx val="1"/>
          <c:order val="1"/>
          <c:tx>
            <c:strRef>
              <c:f>'F4&amp;F5'!$F$4</c:f>
              <c:strCache>
                <c:ptCount val="1"/>
                <c:pt idx="0">
                  <c:v>Volatility</c:v>
                </c:pt>
              </c:strCache>
            </c:strRef>
          </c:tx>
          <c:spPr>
            <a:ln w="28575" cap="rnd">
              <a:solidFill>
                <a:srgbClr val="FF0000"/>
              </a:solidFill>
              <a:round/>
            </a:ln>
            <a:effectLst/>
          </c:spPr>
          <c:marker>
            <c:symbol val="none"/>
          </c:marker>
          <c:cat>
            <c:strRef>
              <c:f>'F4&amp;F5'!$D$5:$D$19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'F4&amp;F5'!$F$5:$F$19</c:f>
              <c:numCache>
                <c:formatCode>0.0_ ;[Red]\-0.0\ </c:formatCode>
                <c:ptCount val="15"/>
                <c:pt idx="0">
                  <c:v>0.90350371258566231</c:v>
                </c:pt>
                <c:pt idx="1">
                  <c:v>1.0121399032903096</c:v>
                </c:pt>
                <c:pt idx="2">
                  <c:v>0.900390388510099</c:v>
                </c:pt>
                <c:pt idx="3">
                  <c:v>0.94241662043233421</c:v>
                </c:pt>
                <c:pt idx="4">
                  <c:v>0.96314637945762427</c:v>
                </c:pt>
                <c:pt idx="5">
                  <c:v>1.5791325686556983</c:v>
                </c:pt>
                <c:pt idx="6">
                  <c:v>1.3508174749610662</c:v>
                </c:pt>
                <c:pt idx="7">
                  <c:v>1.4373831267131045</c:v>
                </c:pt>
                <c:pt idx="8">
                  <c:v>1.3064811986228049</c:v>
                </c:pt>
                <c:pt idx="9">
                  <c:v>1.0742169778497841</c:v>
                </c:pt>
                <c:pt idx="10">
                  <c:v>1.1405016854212924</c:v>
                </c:pt>
                <c:pt idx="11">
                  <c:v>1.2732257282715687</c:v>
                </c:pt>
                <c:pt idx="12">
                  <c:v>2.7618939551821051</c:v>
                </c:pt>
                <c:pt idx="13">
                  <c:v>2.2163469984504793</c:v>
                </c:pt>
                <c:pt idx="14">
                  <c:v>0.88319604605019852</c:v>
                </c:pt>
              </c:numCache>
            </c:numRef>
          </c:val>
          <c:smooth val="0"/>
          <c:extLst>
            <c:ext xmlns:c16="http://schemas.microsoft.com/office/drawing/2014/chart" uri="{C3380CC4-5D6E-409C-BE32-E72D297353CC}">
              <c16:uniqueId val="{00000001-6929-448C-8CE1-05EA5A2A2AA4}"/>
            </c:ext>
          </c:extLst>
        </c:ser>
        <c:dLbls>
          <c:showLegendKey val="0"/>
          <c:showVal val="0"/>
          <c:showCatName val="0"/>
          <c:showSerName val="0"/>
          <c:showPercent val="0"/>
          <c:showBubbleSize val="0"/>
        </c:dLbls>
        <c:marker val="1"/>
        <c:smooth val="0"/>
        <c:axId val="483914592"/>
        <c:axId val="483918512"/>
      </c:lineChart>
      <c:catAx>
        <c:axId val="483919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17336"/>
        <c:crosses val="autoZero"/>
        <c:auto val="1"/>
        <c:lblAlgn val="ctr"/>
        <c:lblOffset val="100"/>
        <c:noMultiLvlLbl val="0"/>
      </c:catAx>
      <c:valAx>
        <c:axId val="48391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solidFill>
                      <a:sysClr val="windowText" lastClr="000000"/>
                    </a:solidFill>
                  </a:rPr>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19688"/>
        <c:crosses val="autoZero"/>
        <c:crossBetween val="between"/>
      </c:valAx>
      <c:valAx>
        <c:axId val="483918512"/>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Volatility</a:t>
                </a:r>
              </a:p>
            </c:rich>
          </c:tx>
          <c:layout>
            <c:manualLayout>
              <c:xMode val="edge"/>
              <c:yMode val="edge"/>
              <c:x val="0.95336865014342542"/>
              <c:y val="0.27286682374915566"/>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14592"/>
        <c:crosses val="max"/>
        <c:crossBetween val="between"/>
      </c:valAx>
      <c:catAx>
        <c:axId val="483914592"/>
        <c:scaling>
          <c:orientation val="minMax"/>
        </c:scaling>
        <c:delete val="1"/>
        <c:axPos val="b"/>
        <c:numFmt formatCode="General" sourceLinked="1"/>
        <c:majorTickMark val="out"/>
        <c:minorTickMark val="none"/>
        <c:tickLblPos val="nextTo"/>
        <c:crossAx val="483918512"/>
        <c:crosses val="autoZero"/>
        <c:auto val="1"/>
        <c:lblAlgn val="ctr"/>
        <c:lblOffset val="100"/>
        <c:noMultiLvlLbl val="0"/>
      </c:catAx>
      <c:spPr>
        <a:noFill/>
        <a:ln w="25400">
          <a:noFill/>
        </a:ln>
        <a:effectLst/>
      </c:spPr>
    </c:plotArea>
    <c:legend>
      <c:legendPos val="b"/>
      <c:layout>
        <c:manualLayout>
          <c:xMode val="edge"/>
          <c:yMode val="edge"/>
          <c:x val="0.33200880828044604"/>
          <c:y val="0.90591875400747135"/>
          <c:w val="0.32390682414698163"/>
          <c:h val="9.0368476667689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sz="900">
          <a:solidFill>
            <a:sysClr val="windowText" lastClr="000000"/>
          </a:solidFill>
          <a:latin typeface="Palatino Linotype" panose="02040502050505030304" pitchFamily="18" charset="0"/>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8601031514418"/>
          <c:y val="8.7008923884514436E-2"/>
          <c:w val="0.77862415799423679"/>
          <c:h val="0.57727615918875674"/>
        </c:manualLayout>
      </c:layout>
      <c:barChart>
        <c:barDir val="col"/>
        <c:grouping val="clustered"/>
        <c:varyColors val="1"/>
        <c:ser>
          <c:idx val="0"/>
          <c:order val="0"/>
          <c:tx>
            <c:strRef>
              <c:f>'F6'!$D$2</c:f>
              <c:strCache>
                <c:ptCount val="1"/>
                <c:pt idx="0">
                  <c:v>Average Daily Turnover (LHS)</c:v>
                </c:pt>
              </c:strCache>
            </c:strRef>
          </c:tx>
          <c:spPr>
            <a:solidFill>
              <a:srgbClr val="FF0000"/>
            </a:solidFill>
          </c:spPr>
          <c:invertIfNegative val="1"/>
          <c:cat>
            <c:numRef>
              <c:f>'F6'!$A$12:$A$23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'F6'!$D$12:$D$23</c:f>
              <c:numCache>
                <c:formatCode>[&gt;=10000000]#.##\,##\,##0;[&gt;=100000]#.##\,##0;##,##0</c:formatCode>
                <c:ptCount val="12"/>
                <c:pt idx="0">
                  <c:v>16.752434265217392</c:v>
                </c:pt>
                <c:pt idx="1">
                  <c:v>17.414393000650001</c:v>
                </c:pt>
                <c:pt idx="2">
                  <c:v>11.7840466028698</c:v>
                </c:pt>
                <c:pt idx="3">
                  <c:v>11.4907658</c:v>
                </c:pt>
                <c:pt idx="4">
                  <c:v>13.0694374</c:v>
                </c:pt>
                <c:pt idx="5">
                  <c:v>16.686263799999999</c:v>
                </c:pt>
                <c:pt idx="6">
                  <c:v>19.102481950051249</c:v>
                </c:pt>
                <c:pt idx="7">
                  <c:v>18.775890234865429</c:v>
                </c:pt>
                <c:pt idx="8">
                  <c:v>21.570235625705259</c:v>
                </c:pt>
                <c:pt idx="9">
                  <c:v>26.324582987257266</c:v>
                </c:pt>
                <c:pt idx="10">
                  <c:v>28.444782670458572</c:v>
                </c:pt>
                <c:pt idx="11">
                  <c:v>30.573749092755186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C42-4C98-9815-8735BB09FFB3}"/>
            </c:ext>
          </c:extLst>
        </c:ser>
        <c:dLbls>
          <c:showLegendKey val="0"/>
          <c:showVal val="0"/>
          <c:showCatName val="0"/>
          <c:showSerName val="0"/>
          <c:showPercent val="0"/>
          <c:showBubbleSize val="0"/>
        </c:dLbls>
        <c:gapWidth val="150"/>
        <c:axId val="483918904"/>
        <c:axId val="483916944"/>
      </c:barChart>
      <c:lineChart>
        <c:grouping val="standard"/>
        <c:varyColors val="0"/>
        <c:ser>
          <c:idx val="1"/>
          <c:order val="1"/>
          <c:tx>
            <c:strRef>
              <c:f>'F6'!$E$2</c:f>
              <c:strCache>
                <c:ptCount val="1"/>
                <c:pt idx="0">
                  <c:v>Monthly Turnover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'F6'!$A$12:$A$23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'F6'!$E$12:$E$23</c:f>
              <c:numCache>
                <c:formatCode>[&gt;=10000000]#.##\,##\,##0;[&gt;=100000]#.##\,##0;##,##0</c:formatCode>
                <c:ptCount val="12"/>
                <c:pt idx="0">
                  <c:v>385.30598810000004</c:v>
                </c:pt>
                <c:pt idx="1">
                  <c:v>348.287860013</c:v>
                </c:pt>
                <c:pt idx="2">
                  <c:v>247.46497866026593</c:v>
                </c:pt>
                <c:pt idx="3">
                  <c:v>206.83378434861089</c:v>
                </c:pt>
                <c:pt idx="4">
                  <c:v>248.31931028491897</c:v>
                </c:pt>
                <c:pt idx="5">
                  <c:v>367.09780340361169</c:v>
                </c:pt>
                <c:pt idx="6">
                  <c:v>439.35708485117874</c:v>
                </c:pt>
                <c:pt idx="7">
                  <c:v>394.29369493217399</c:v>
                </c:pt>
                <c:pt idx="8">
                  <c:v>474.54518376551567</c:v>
                </c:pt>
                <c:pt idx="9">
                  <c:v>552.81624273240266</c:v>
                </c:pt>
                <c:pt idx="10">
                  <c:v>568.89565340917147</c:v>
                </c:pt>
                <c:pt idx="11">
                  <c:v>672.62248004061416</c:v>
                </c:pt>
              </c:numCache>
            </c:numRef>
          </c:val>
          <c:smooth val="0"/>
          <c:extLst>
            <c:ext xmlns:c16="http://schemas.microsoft.com/office/drawing/2014/chart" uri="{C3380CC4-5D6E-409C-BE32-E72D297353CC}">
              <c16:uniqueId val="{00000001-AC42-4C98-9815-8735BB09FFB3}"/>
            </c:ext>
          </c:extLst>
        </c:ser>
        <c:dLbls>
          <c:showLegendKey val="0"/>
          <c:showVal val="0"/>
          <c:showCatName val="0"/>
          <c:showSerName val="0"/>
          <c:showPercent val="0"/>
          <c:showBubbleSize val="0"/>
        </c:dLbls>
        <c:marker val="1"/>
        <c:smooth val="0"/>
        <c:axId val="483920472"/>
        <c:axId val="483915376"/>
      </c:lineChart>
      <c:dateAx>
        <c:axId val="483918904"/>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483916944"/>
        <c:crosses val="autoZero"/>
        <c:auto val="1"/>
        <c:lblOffset val="100"/>
        <c:baseTimeUnit val="months"/>
      </c:dateAx>
      <c:valAx>
        <c:axId val="483916944"/>
        <c:scaling>
          <c:orientation val="minMax"/>
          <c:min val="1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US" sz="900" b="0" i="0" baseline="0">
                    <a:effectLst/>
                  </a:rPr>
                  <a:t> </a:t>
                </a:r>
                <a:r>
                  <a:rPr lang="en-GB" sz="900" b="0" i="0" baseline="0">
                    <a:effectLst/>
                  </a:rPr>
                  <a:t>₹ </a:t>
                </a:r>
                <a:r>
                  <a:rPr lang="en-US" sz="900" b="0" i="0" baseline="0">
                    <a:effectLst/>
                  </a:rPr>
                  <a:t>Lakh Crore</a:t>
                </a:r>
                <a:endParaRPr lang="en-IN" sz="900" b="0">
                  <a:effectLst/>
                </a:endParaRPr>
              </a:p>
            </c:rich>
          </c:tx>
          <c:layout>
            <c:manualLayout>
              <c:xMode val="edge"/>
              <c:yMode val="edge"/>
              <c:x val="1.045463722629077E-2"/>
              <c:y val="0.32930621847257135"/>
            </c:manualLayout>
          </c:layout>
          <c:overlay val="0"/>
        </c:title>
        <c:numFmt formatCode="[&gt;=10000000]#.##\,##\,##0;[&gt;=100000]#.##\,##0;##,##0" sourceLinked="1"/>
        <c:majorTickMark val="cross"/>
        <c:minorTickMark val="cross"/>
        <c:tickLblPos val="nextTo"/>
        <c:spPr>
          <a:ln w="47625">
            <a:noFill/>
          </a:ln>
        </c:spPr>
        <c:crossAx val="483918904"/>
        <c:crosses val="autoZero"/>
        <c:crossBetween val="between"/>
      </c:valAx>
      <c:dateAx>
        <c:axId val="483920472"/>
        <c:scaling>
          <c:orientation val="minMax"/>
        </c:scaling>
        <c:delete val="1"/>
        <c:axPos val="b"/>
        <c:numFmt formatCode="[$-409]mmm\-yy" sourceLinked="1"/>
        <c:majorTickMark val="cross"/>
        <c:minorTickMark val="cross"/>
        <c:tickLblPos val="nextTo"/>
        <c:crossAx val="483915376"/>
        <c:crosses val="autoZero"/>
        <c:auto val="1"/>
        <c:lblOffset val="100"/>
        <c:baseTimeUnit val="months"/>
      </c:dateAx>
      <c:valAx>
        <c:axId val="483915376"/>
        <c:scaling>
          <c:orientation val="minMax"/>
          <c:min val="160"/>
        </c:scaling>
        <c:delete val="0"/>
        <c:axPos val="r"/>
        <c:majorGridlines>
          <c:spPr>
            <a:ln>
              <a:solidFill>
                <a:srgbClr val="B7B7B7"/>
              </a:solidFill>
            </a:ln>
          </c:spPr>
        </c:majorGridlines>
        <c:minorGridlines>
          <c:spPr>
            <a:ln>
              <a:solidFill>
                <a:srgbClr val="CCCCCC">
                  <a:alpha val="0"/>
                </a:srgbClr>
              </a:solidFill>
            </a:ln>
          </c:spPr>
        </c:minorGridlines>
        <c:title>
          <c:tx>
            <c:rich>
              <a:bodyPr rot="5400000" vert="horz"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Palatino Linotype" panose="02040502050505030304" pitchFamily="18" charset="0"/>
                    <a:ea typeface="+mn-ea"/>
                    <a:cs typeface="+mn-cs"/>
                  </a:defRPr>
                </a:pPr>
                <a:r>
                  <a:rPr lang="en-US" sz="1800" b="0" i="0" baseline="0">
                    <a:effectLst/>
                  </a:rPr>
                  <a:t> </a:t>
                </a:r>
                <a:r>
                  <a:rPr lang="en-GB" sz="900" b="0" i="0" u="none" strike="noStrike" baseline="0">
                    <a:effectLst/>
                  </a:rPr>
                  <a:t>₹ </a:t>
                </a:r>
                <a:r>
                  <a:rPr lang="en-US" b="0"/>
                  <a:t>Lakh Crore</a:t>
                </a:r>
              </a:p>
            </c:rich>
          </c:tx>
          <c:layout>
            <c:manualLayout>
              <c:xMode val="edge"/>
              <c:yMode val="edge"/>
              <c:x val="0.93639850962685611"/>
              <c:y val="0.2981913814568683"/>
            </c:manualLayout>
          </c:layout>
          <c:overlay val="0"/>
        </c:title>
        <c:numFmt formatCode="[&gt;=10000000]#.##\,##\,##0;[&gt;=100000]#.##\,##0;##,##0" sourceLinked="1"/>
        <c:majorTickMark val="cross"/>
        <c:minorTickMark val="cross"/>
        <c:tickLblPos val="nextTo"/>
        <c:spPr>
          <a:ln w="47625">
            <a:noFill/>
          </a:ln>
        </c:spPr>
        <c:crossAx val="483920472"/>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9694970561113"/>
          <c:y val="5.0925925925925923E-2"/>
          <c:w val="0.83577782506916365"/>
          <c:h val="0.82032315727975869"/>
        </c:manualLayout>
      </c:layout>
      <c:barChart>
        <c:barDir val="bar"/>
        <c:grouping val="clustered"/>
        <c:varyColors val="1"/>
        <c:ser>
          <c:idx val="0"/>
          <c:order val="0"/>
          <c:tx>
            <c:strRef>
              <c:f>'F7'!$G$22</c:f>
              <c:strCache>
                <c:ptCount val="1"/>
                <c:pt idx="0">
                  <c:v>Apr-20</c:v>
                </c:pt>
              </c:strCache>
            </c:strRef>
          </c:tx>
          <c:spPr>
            <a:solidFill>
              <a:srgbClr val="FF000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'F7'!$H$22:$J$22</c:f>
              <c:numCache>
                <c:formatCode>0.0%</c:formatCode>
                <c:ptCount val="3"/>
                <c:pt idx="0">
                  <c:v>0.68170751122271411</c:v>
                </c:pt>
                <c:pt idx="1">
                  <c:v>0.31003177992745701</c:v>
                </c:pt>
                <c:pt idx="2">
                  <c:v>8.2607088498288118E-3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5D2-4843-B1AC-2E514FA9E03A}"/>
            </c:ext>
          </c:extLst>
        </c:ser>
        <c:ser>
          <c:idx val="1"/>
          <c:order val="1"/>
          <c:tx>
            <c:strRef>
              <c:f>'F7'!$G$23</c:f>
              <c:strCache>
                <c:ptCount val="1"/>
                <c:pt idx="0">
                  <c:v>May-20</c:v>
                </c:pt>
              </c:strCache>
            </c:strRef>
          </c:tx>
          <c:spPr>
            <a:solidFill>
              <a:srgbClr val="00B050"/>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'F7'!$H$23:$J$23</c:f>
              <c:numCache>
                <c:formatCode>0.0%</c:formatCode>
                <c:ptCount val="3"/>
                <c:pt idx="0">
                  <c:v>0.70791143061273143</c:v>
                </c:pt>
                <c:pt idx="1">
                  <c:v>0.2842029978974609</c:v>
                </c:pt>
                <c:pt idx="2">
                  <c:v>7.8855714898076659E-3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5D2-4843-B1AC-2E514FA9E03A}"/>
            </c:ext>
          </c:extLst>
        </c:ser>
        <c:ser>
          <c:idx val="2"/>
          <c:order val="2"/>
          <c:tx>
            <c:strRef>
              <c:f>'F7'!$G$24</c:f>
              <c:strCache>
                <c:ptCount val="1"/>
                <c:pt idx="0">
                  <c:v>Jun-20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'F7'!$H$24:$J$24</c:f>
              <c:numCache>
                <c:formatCode>0.0%</c:formatCode>
                <c:ptCount val="3"/>
                <c:pt idx="0">
                  <c:v>0.68514872675169414</c:v>
                </c:pt>
                <c:pt idx="1">
                  <c:v>0.30706093786169325</c:v>
                </c:pt>
                <c:pt idx="2">
                  <c:v>7.7903353866125066E-3</c:v>
                </c:pt>
              </c:numCache>
            </c:numRef>
          </c:val>
          <c:extLst>
            <c:ext xmlns:c16="http://schemas.microsoft.com/office/drawing/2014/chart" uri="{C3380CC4-5D6E-409C-BE32-E72D297353CC}">
              <c16:uniqueId val="{00000002-E5D2-4843-B1AC-2E514FA9E03A}"/>
            </c:ext>
          </c:extLst>
        </c:ser>
        <c:ser>
          <c:idx val="3"/>
          <c:order val="3"/>
          <c:tx>
            <c:strRef>
              <c:f>'F7'!$G$25</c:f>
              <c:strCache>
                <c:ptCount val="1"/>
                <c:pt idx="0">
                  <c:v>Jul-20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'F7'!$H$25:$J$25</c:f>
              <c:numCache>
                <c:formatCode>0.0%</c:formatCode>
                <c:ptCount val="3"/>
                <c:pt idx="0">
                  <c:v>0.72947482128821906</c:v>
                </c:pt>
                <c:pt idx="1">
                  <c:v>0.26307076232624588</c:v>
                </c:pt>
                <c:pt idx="2">
                  <c:v>7.4544163855349756E-3</c:v>
                </c:pt>
              </c:numCache>
            </c:numRef>
          </c:val>
          <c:extLst>
            <c:ext xmlns:c16="http://schemas.microsoft.com/office/drawing/2014/chart" uri="{C3380CC4-5D6E-409C-BE32-E72D297353CC}">
              <c16:uniqueId val="{00000003-E5D2-4843-B1AC-2E514FA9E03A}"/>
            </c:ext>
          </c:extLst>
        </c:ser>
        <c:ser>
          <c:idx val="4"/>
          <c:order val="4"/>
          <c:tx>
            <c:strRef>
              <c:f>'F7'!$G$26</c:f>
              <c:strCache>
                <c:ptCount val="1"/>
                <c:pt idx="0">
                  <c:v>Aug-20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'F7'!$H$26:$J$26</c:f>
              <c:numCache>
                <c:formatCode>0.0%</c:formatCode>
                <c:ptCount val="3"/>
                <c:pt idx="0">
                  <c:v>0.73442156433141415</c:v>
                </c:pt>
                <c:pt idx="1">
                  <c:v>0.25810189065830375</c:v>
                </c:pt>
                <c:pt idx="2">
                  <c:v>7.4765450102821582E-3</c:v>
                </c:pt>
              </c:numCache>
            </c:numRef>
          </c:val>
          <c:extLst>
            <c:ext xmlns:c16="http://schemas.microsoft.com/office/drawing/2014/chart" uri="{C3380CC4-5D6E-409C-BE32-E72D297353CC}">
              <c16:uniqueId val="{00000004-E5D2-4843-B1AC-2E514FA9E03A}"/>
            </c:ext>
          </c:extLst>
        </c:ser>
        <c:ser>
          <c:idx val="5"/>
          <c:order val="5"/>
          <c:tx>
            <c:strRef>
              <c:f>'F7'!$G$27</c:f>
              <c:strCache>
                <c:ptCount val="1"/>
                <c:pt idx="0">
                  <c:v>Sep-20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'F7'!$H$27:$J$27</c:f>
              <c:numCache>
                <c:formatCode>0.0%</c:formatCode>
                <c:ptCount val="3"/>
                <c:pt idx="0">
                  <c:v>0.72598987145966887</c:v>
                </c:pt>
                <c:pt idx="1">
                  <c:v>0.26670947590780114</c:v>
                </c:pt>
                <c:pt idx="2">
                  <c:v>7.3006526325299975E-3</c:v>
                </c:pt>
              </c:numCache>
            </c:numRef>
          </c:val>
          <c:extLst>
            <c:ext xmlns:c16="http://schemas.microsoft.com/office/drawing/2014/chart" uri="{C3380CC4-5D6E-409C-BE32-E72D297353CC}">
              <c16:uniqueId val="{00000005-E5D2-4843-B1AC-2E514FA9E03A}"/>
            </c:ext>
          </c:extLst>
        </c:ser>
        <c:ser>
          <c:idx val="6"/>
          <c:order val="6"/>
          <c:tx>
            <c:strRef>
              <c:f>'F7'!$G$28</c:f>
              <c:strCache>
                <c:ptCount val="1"/>
                <c:pt idx="0">
                  <c:v>Oct-20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'F7'!$H$28:$J$28</c:f>
              <c:numCache>
                <c:formatCode>0.0%</c:formatCode>
                <c:ptCount val="3"/>
                <c:pt idx="0">
                  <c:v>0.73147146397899088</c:v>
                </c:pt>
                <c:pt idx="1">
                  <c:v>0.26262507496573528</c:v>
                </c:pt>
                <c:pt idx="2">
                  <c:v>5.9034610552737713E-3</c:v>
                </c:pt>
              </c:numCache>
            </c:numRef>
          </c:val>
          <c:extLst>
            <c:ext xmlns:c16="http://schemas.microsoft.com/office/drawing/2014/chart" uri="{C3380CC4-5D6E-409C-BE32-E72D297353CC}">
              <c16:uniqueId val="{00000006-E5D2-4843-B1AC-2E514FA9E03A}"/>
            </c:ext>
          </c:extLst>
        </c:ser>
        <c:ser>
          <c:idx val="7"/>
          <c:order val="7"/>
          <c:tx>
            <c:strRef>
              <c:f>'F7'!$G$29</c:f>
              <c:strCache>
                <c:ptCount val="1"/>
                <c:pt idx="0">
                  <c:v>Nov-20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'F7'!$H$29:$J$29</c:f>
              <c:numCache>
                <c:formatCode>0.0%</c:formatCode>
                <c:ptCount val="3"/>
                <c:pt idx="0">
                  <c:v>0.67010595445237997</c:v>
                </c:pt>
                <c:pt idx="1">
                  <c:v>0.32268827176827891</c:v>
                </c:pt>
                <c:pt idx="2">
                  <c:v>7.2057737793411502E-3</c:v>
                </c:pt>
              </c:numCache>
            </c:numRef>
          </c:val>
          <c:extLst>
            <c:ext xmlns:c16="http://schemas.microsoft.com/office/drawing/2014/chart" uri="{C3380CC4-5D6E-409C-BE32-E72D297353CC}">
              <c16:uniqueId val="{00000007-E5D2-4843-B1AC-2E514FA9E03A}"/>
            </c:ext>
          </c:extLst>
        </c:ser>
        <c:ser>
          <c:idx val="8"/>
          <c:order val="8"/>
          <c:tx>
            <c:strRef>
              <c:f>'F7'!$G$30</c:f>
              <c:strCache>
                <c:ptCount val="1"/>
                <c:pt idx="0">
                  <c:v>Dec-20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'F7'!$H$19:$J$19</c:f>
              <c:strCache>
                <c:ptCount val="3"/>
                <c:pt idx="0">
                  <c:v>Weekly</c:v>
                </c:pt>
                <c:pt idx="1">
                  <c:v>1 Month</c:v>
                </c:pt>
                <c:pt idx="2">
                  <c:v>&gt; 1 Month</c:v>
                </c:pt>
              </c:strCache>
            </c:strRef>
          </c:cat>
          <c:val>
            <c:numRef>
              <c:f>'F7'!$H$30:$J$30</c:f>
              <c:numCache>
                <c:formatCode>0.0%</c:formatCode>
                <c:ptCount val="3"/>
                <c:pt idx="0">
                  <c:v>0.77381556008060537</c:v>
                </c:pt>
                <c:pt idx="1">
                  <c:v>0.22073651316636</c:v>
                </c:pt>
                <c:pt idx="2">
                  <c:v>5.4479267530346976E-3</c:v>
                </c:pt>
              </c:numCache>
            </c:numRef>
          </c:val>
          <c:extLst>
            <c:ext xmlns:c16="http://schemas.microsoft.com/office/drawing/2014/chart" uri="{C3380CC4-5D6E-409C-BE32-E72D297353CC}">
              <c16:uniqueId val="{00000008-E5D2-4843-B1AC-2E514FA9E03A}"/>
            </c:ext>
          </c:extLst>
        </c:ser>
        <c:dLbls>
          <c:dLblPos val="outEnd"/>
          <c:showLegendKey val="0"/>
          <c:showVal val="1"/>
          <c:showCatName val="0"/>
          <c:showSerName val="0"/>
          <c:showPercent val="0"/>
          <c:showBubbleSize val="0"/>
        </c:dLbls>
        <c:gapWidth val="128"/>
        <c:overlap val="-50"/>
        <c:axId val="571449400"/>
        <c:axId val="571443128"/>
      </c:barChart>
      <c:catAx>
        <c:axId val="571449400"/>
        <c:scaling>
          <c:orientation val="maxMin"/>
        </c:scaling>
        <c:delete val="0"/>
        <c:axPos val="l"/>
        <c:title>
          <c:tx>
            <c:rich>
              <a:bodyPr/>
              <a:lstStyle/>
              <a:p>
                <a:pPr>
                  <a:defRPr/>
                </a:pPr>
                <a:endParaRPr lang="en-US"/>
              </a:p>
            </c:rich>
          </c:tx>
          <c:overlay val="0"/>
        </c:title>
        <c:numFmt formatCode="General" sourceLinked="1"/>
        <c:majorTickMark val="cross"/>
        <c:minorTickMark val="cross"/>
        <c:tickLblPos val="nextTo"/>
        <c:crossAx val="571443128"/>
        <c:crosses val="autoZero"/>
        <c:auto val="1"/>
        <c:lblAlgn val="ctr"/>
        <c:lblOffset val="100"/>
        <c:noMultiLvlLbl val="1"/>
      </c:catAx>
      <c:valAx>
        <c:axId val="571443128"/>
        <c:scaling>
          <c:orientation val="minMax"/>
        </c:scaling>
        <c:delete val="1"/>
        <c:axPos val="b"/>
        <c:minorGridlines>
          <c:spPr>
            <a:ln>
              <a:solidFill>
                <a:srgbClr val="CCCCCC">
                  <a:alpha val="0"/>
                </a:srgbClr>
              </a:solidFill>
            </a:ln>
          </c:spPr>
        </c:minorGridlines>
        <c:title>
          <c:tx>
            <c:rich>
              <a:bodyPr/>
              <a:lstStyle/>
              <a:p>
                <a:pPr>
                  <a:defRPr/>
                </a:pPr>
                <a:endParaRPr lang="en-US"/>
              </a:p>
            </c:rich>
          </c:tx>
          <c:overlay val="0"/>
        </c:title>
        <c:numFmt formatCode="0.0%" sourceLinked="1"/>
        <c:majorTickMark val="cross"/>
        <c:minorTickMark val="cross"/>
        <c:tickLblPos val="nextTo"/>
        <c:crossAx val="571449400"/>
        <c:crosses val="max"/>
        <c:crossBetween val="between"/>
      </c:valAx>
    </c:plotArea>
    <c:legend>
      <c:legendPos val="b"/>
      <c:overlay val="0"/>
    </c:legend>
    <c:plotVisOnly val="1"/>
    <c:dispBlanksAs val="zero"/>
    <c:showDLblsOverMax val="1"/>
  </c:chart>
  <c:spPr>
    <a:solidFill>
      <a:schemeClr val="lt1"/>
    </a:solidFill>
    <a:ln w="9525" cap="flat" cmpd="sng" algn="ctr">
      <a:solidFill>
        <a:schemeClr val="bg1">
          <a:lumMod val="50000"/>
        </a:schemeClr>
      </a:solidFill>
      <a:prstDash val="soli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127355939804"/>
          <c:y val="7.0317346695299446E-2"/>
          <c:w val="0.72023002149856896"/>
          <c:h val="0.63930838190680706"/>
        </c:manualLayout>
      </c:layout>
      <c:lineChart>
        <c:grouping val="standard"/>
        <c:varyColors val="0"/>
        <c:ser>
          <c:idx val="0"/>
          <c:order val="0"/>
          <c:tx>
            <c:strRef>
              <c:f>'F8'!$B$4</c:f>
              <c:strCache>
                <c:ptCount val="1"/>
                <c:pt idx="0">
                  <c:v>NSE (LHS)</c:v>
                </c:pt>
              </c:strCache>
            </c:strRef>
          </c:tx>
          <c:spPr>
            <a:ln w="19050" cmpd="sng">
              <a:solidFill>
                <a:srgbClr val="FF0000"/>
              </a:solidFill>
              <a:prstDash val="solid"/>
            </a:ln>
          </c:spPr>
          <c:marker>
            <c:symbol val="circle"/>
            <c:size val="5"/>
            <c:spPr>
              <a:solidFill>
                <a:srgbClr val="FF0000"/>
              </a:solidFill>
              <a:ln cmpd="sng">
                <a:solidFill>
                  <a:srgbClr val="FF0000"/>
                </a:solidFill>
              </a:ln>
            </c:spPr>
          </c:marker>
          <c:cat>
            <c:numRef>
              <c:f>'F8'!$A$14:$A$25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'F8'!$B$14:$B$25</c:f>
              <c:numCache>
                <c:formatCode>0\,00\,000;\-0\,00\,000;0</c:formatCode>
                <c:ptCount val="12"/>
                <c:pt idx="0">
                  <c:v>845443.09140000003</c:v>
                </c:pt>
                <c:pt idx="1">
                  <c:v>788012.82889999996</c:v>
                </c:pt>
                <c:pt idx="2">
                  <c:v>1231222.4816374592</c:v>
                </c:pt>
                <c:pt idx="3">
                  <c:v>696282.45724269352</c:v>
                </c:pt>
                <c:pt idx="4" formatCode="[&gt;=10000000]#\,##\,##\,##0;[&gt;=100000]#\,##\,##0;##,##0">
                  <c:v>729527.23581414134</c:v>
                </c:pt>
                <c:pt idx="5" formatCode="[&gt;=10000000]#\,##\,##\,##0;[&gt;=100000]#\,##\,##0;##,##0">
                  <c:v>949170.06959089276</c:v>
                </c:pt>
                <c:pt idx="6" formatCode="[&gt;=10000000]#\,##\,##\,##0;[&gt;=100000]#\,##\,##0;##,##0">
                  <c:v>943395.67188321159</c:v>
                </c:pt>
                <c:pt idx="7" formatCode="[&gt;=10000000]#\,##\,##\,##0;[&gt;=100000]#\,##\,##0;##,##0">
                  <c:v>976864.32951144269</c:v>
                </c:pt>
                <c:pt idx="8" formatCode="[&gt;=10000000]#\,##\,##\,##0;[&gt;=100000]#\,##\,##0;##,##0">
                  <c:v>1120073.5900000001</c:v>
                </c:pt>
                <c:pt idx="9" formatCode="[&gt;=10000000]#\,##\,##\,##0;[&gt;=100000]#\,##\,##0;##,##0">
                  <c:v>977668.28209999995</c:v>
                </c:pt>
                <c:pt idx="10" formatCode="[&gt;=10000000]#\,##\,##\,##0;[&gt;=100000]#\,##\,##0;##,##0">
                  <c:v>1024112.012</c:v>
                </c:pt>
                <c:pt idx="11" formatCode="[&gt;=10000000]#\,##\,##\,##0;[&gt;=100000]#\,##\,##0;##,##0">
                  <c:v>1160618.8376070948</c:v>
                </c:pt>
              </c:numCache>
            </c:numRef>
          </c:val>
          <c:smooth val="0"/>
          <c:extLst>
            <c:ext xmlns:c16="http://schemas.microsoft.com/office/drawing/2014/chart" uri="{C3380CC4-5D6E-409C-BE32-E72D297353CC}">
              <c16:uniqueId val="{00000000-AF8F-483C-B9FF-217930E83808}"/>
            </c:ext>
          </c:extLst>
        </c:ser>
        <c:ser>
          <c:idx val="1"/>
          <c:order val="1"/>
          <c:tx>
            <c:strRef>
              <c:f>'F8'!$D$4</c:f>
              <c:strCache>
                <c:ptCount val="1"/>
                <c:pt idx="0">
                  <c:v>BSE  (LHS)</c:v>
                </c:pt>
              </c:strCache>
            </c:strRef>
          </c:tx>
          <c:spPr>
            <a:ln w="19050" cmpd="sng">
              <a:solidFill>
                <a:srgbClr val="7030A0"/>
              </a:solidFill>
              <a:prstDash val="solid"/>
            </a:ln>
          </c:spPr>
          <c:marker>
            <c:symbol val="circle"/>
            <c:size val="5"/>
            <c:spPr>
              <a:solidFill>
                <a:srgbClr val="7030A0"/>
              </a:solidFill>
              <a:ln cmpd="sng">
                <a:solidFill>
                  <a:srgbClr val="7030A0"/>
                </a:solidFill>
              </a:ln>
            </c:spPr>
          </c:marker>
          <c:cat>
            <c:numRef>
              <c:f>'F8'!$A$14:$A$25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'F8'!$D$14:$D$25</c:f>
              <c:numCache>
                <c:formatCode>0\,00\,000;\-0\,00\,000;0</c:formatCode>
                <c:ptCount val="12"/>
                <c:pt idx="0">
                  <c:v>482786.31690000009</c:v>
                </c:pt>
                <c:pt idx="1">
                  <c:v>439995.65480000008</c:v>
                </c:pt>
                <c:pt idx="2">
                  <c:v>471806.4</c:v>
                </c:pt>
                <c:pt idx="3" formatCode="[&gt;=10000000]#\,##\,##\,##0;[&gt;=100000]#\,##\,##0;##,##0">
                  <c:v>271144.38</c:v>
                </c:pt>
                <c:pt idx="4" formatCode="[&gt;=10000000]#\,##\,##\,##0;[&gt;=100000]#\,##\,##0;##,##0">
                  <c:v>306144.90000000002</c:v>
                </c:pt>
                <c:pt idx="5" formatCode="[&gt;=10000000]#\,##\,##\,##0;[&gt;=100000]#\,##\,##0;##,##0">
                  <c:v>467245.2</c:v>
                </c:pt>
                <c:pt idx="6" formatCode="[&gt;=10000000]#\,##\,##\,##0;[&gt;=100000]#\,##\,##0;##,##0">
                  <c:v>437166.34</c:v>
                </c:pt>
                <c:pt idx="7" formatCode="[&gt;=10000000]#\,##\,##\,##0;[&gt;=100000]#\,##\,##0;##,##0">
                  <c:v>451790.26</c:v>
                </c:pt>
                <c:pt idx="8" formatCode="[&gt;=10000000]#\,##\,##\,##0;[&gt;=100000]#\,##\,##0;##,##0">
                  <c:v>429477.39090000006</c:v>
                </c:pt>
                <c:pt idx="9" formatCode="[&gt;=10000000]#\,##\,##\,##0;[&gt;=100000]#\,##\,##0;##,##0">
                  <c:v>408890.7488</c:v>
                </c:pt>
                <c:pt idx="10" formatCode="[&gt;=10000000]#\,##\,##\,##0;[&gt;=100000]#\,##\,##0;##,##0">
                  <c:v>402246.89210000006</c:v>
                </c:pt>
                <c:pt idx="11" formatCode="[&gt;=10000000]#\,##\,##\,##0;[&gt;=100000]#\,##\,##0;##,##0">
                  <c:v>496940.56949999998</c:v>
                </c:pt>
              </c:numCache>
            </c:numRef>
          </c:val>
          <c:smooth val="0"/>
          <c:extLst>
            <c:ext xmlns:c16="http://schemas.microsoft.com/office/drawing/2014/chart" uri="{C3380CC4-5D6E-409C-BE32-E72D297353CC}">
              <c16:uniqueId val="{00000001-AF8F-483C-B9FF-217930E83808}"/>
            </c:ext>
          </c:extLst>
        </c:ser>
        <c:dLbls>
          <c:showLegendKey val="0"/>
          <c:showVal val="0"/>
          <c:showCatName val="0"/>
          <c:showSerName val="0"/>
          <c:showPercent val="0"/>
          <c:showBubbleSize val="0"/>
        </c:dLbls>
        <c:marker val="1"/>
        <c:smooth val="0"/>
        <c:axId val="483915768"/>
        <c:axId val="483921256"/>
      </c:lineChart>
      <c:lineChart>
        <c:grouping val="standard"/>
        <c:varyColors val="0"/>
        <c:ser>
          <c:idx val="2"/>
          <c:order val="2"/>
          <c:tx>
            <c:strRef>
              <c:f>'F8'!$C$4</c:f>
              <c:strCache>
                <c:ptCount val="1"/>
                <c:pt idx="0">
                  <c:v>MSEI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'F8'!$A$14:$A$25</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'F8'!$C$14:$C$25</c:f>
              <c:numCache>
                <c:formatCode>#,##0;\-#,##0;0</c:formatCode>
                <c:ptCount val="12"/>
                <c:pt idx="0">
                  <c:v>5956.6478307500001</c:v>
                </c:pt>
                <c:pt idx="1">
                  <c:v>5313.5327112499999</c:v>
                </c:pt>
                <c:pt idx="2">
                  <c:v>6404.1278092499997</c:v>
                </c:pt>
                <c:pt idx="3" formatCode="[&gt;=10000000]#\,##\,##\,##0;[&gt;=100000]#\,##\,##0;##,##0">
                  <c:v>1785.2814207500001</c:v>
                </c:pt>
                <c:pt idx="4" formatCode="[&gt;=10000000]#\,##\,##\,##0;[&gt;=100000]#\,##\,##0;##,##0">
                  <c:v>1702.4234337499997</c:v>
                </c:pt>
                <c:pt idx="5" formatCode="[&gt;=10000000]#\,##\,##\,##0;[&gt;=100000]#\,##\,##0;##,##0">
                  <c:v>2854.2512265</c:v>
                </c:pt>
                <c:pt idx="6" formatCode="[&gt;=10000000]#\,##\,##\,##0;[&gt;=100000]#\,##\,##0;##,##0">
                  <c:v>4064.4222235000007</c:v>
                </c:pt>
                <c:pt idx="7" formatCode="[&gt;=10000000]#\,##\,##\,##0;[&gt;=100000]#\,##\,##0;##,##0">
                  <c:v>5291.3987129999996</c:v>
                </c:pt>
                <c:pt idx="8" formatCode="[&gt;=10000000]#\,##\,##\,##0;[&gt;=100000]#\,##\,##0;##,##0">
                  <c:v>6888.6162975000007</c:v>
                </c:pt>
                <c:pt idx="9" formatCode="[&gt;=10000000]#\,##\,##\,##0;[&gt;=100000]#\,##\,##0;##,##0">
                  <c:v>9075.2012660000019</c:v>
                </c:pt>
                <c:pt idx="10" formatCode="[&gt;=10000000]#\,##\,##\,##0;[&gt;=100000]#\,##\,##0;##,##0">
                  <c:v>12344.712834499998</c:v>
                </c:pt>
                <c:pt idx="11" formatCode="[&gt;=10000000]#\,##\,##\,##0;[&gt;=100000]#\,##\,##0;##,##0">
                  <c:v>14310.276320249999</c:v>
                </c:pt>
              </c:numCache>
            </c:numRef>
          </c:val>
          <c:smooth val="0"/>
          <c:extLst>
            <c:ext xmlns:c16="http://schemas.microsoft.com/office/drawing/2014/chart" uri="{C3380CC4-5D6E-409C-BE32-E72D297353CC}">
              <c16:uniqueId val="{00000002-AF8F-483C-B9FF-217930E83808}"/>
            </c:ext>
          </c:extLst>
        </c:ser>
        <c:dLbls>
          <c:showLegendKey val="0"/>
          <c:showVal val="0"/>
          <c:showCatName val="0"/>
          <c:showSerName val="0"/>
          <c:showPercent val="0"/>
          <c:showBubbleSize val="0"/>
        </c:dLbls>
        <c:marker val="1"/>
        <c:smooth val="0"/>
        <c:axId val="1874385488"/>
        <c:axId val="1874390896"/>
      </c:lineChart>
      <c:dateAx>
        <c:axId val="483915768"/>
        <c:scaling>
          <c:orientation val="minMax"/>
        </c:scaling>
        <c:delete val="0"/>
        <c:axPos val="b"/>
        <c:numFmt formatCode="[$-409]mmm\-yy" sourceLinked="1"/>
        <c:majorTickMark val="cross"/>
        <c:minorTickMark val="cross"/>
        <c:tickLblPos val="nextTo"/>
        <c:txPr>
          <a:bodyPr rot="-5400000"/>
          <a:lstStyle/>
          <a:p>
            <a:pPr>
              <a:defRPr/>
            </a:pPr>
            <a:endParaRPr lang="en-US"/>
          </a:p>
        </c:txPr>
        <c:crossAx val="483921256"/>
        <c:crosses val="autoZero"/>
        <c:auto val="1"/>
        <c:lblOffset val="100"/>
        <c:baseTimeUnit val="months"/>
      </c:dateAx>
      <c:valAx>
        <c:axId val="483921256"/>
        <c:scaling>
          <c:orientation val="minMax"/>
        </c:scaling>
        <c:delete val="0"/>
        <c:axPos val="l"/>
        <c:majorGridlines>
          <c:spPr>
            <a:ln>
              <a:solidFill>
                <a:schemeClr val="bg1">
                  <a:lumMod val="65000"/>
                </a:schemeClr>
              </a:solidFill>
            </a:ln>
          </c:spPr>
        </c:majorGridlines>
        <c:minorGridlines>
          <c:spPr>
            <a:ln>
              <a:solidFill>
                <a:schemeClr val="bg1">
                  <a:lumMod val="85000"/>
                  <a:alpha val="37000"/>
                </a:schemeClr>
              </a:solidFill>
            </a:ln>
          </c:spPr>
        </c:minorGridlines>
        <c:title>
          <c:tx>
            <c:rich>
              <a:bodyPr/>
              <a:lstStyle/>
              <a:p>
                <a:pPr>
                  <a:defRPr b="0"/>
                </a:pPr>
                <a:r>
                  <a:rPr lang="en-GB" sz="900" b="0" i="0" u="none" strike="noStrike" baseline="0">
                    <a:effectLst/>
                  </a:rPr>
                  <a:t>₹</a:t>
                </a:r>
                <a:r>
                  <a:rPr lang="en-US" b="0"/>
                  <a:t> crore</a:t>
                </a:r>
              </a:p>
            </c:rich>
          </c:tx>
          <c:layout>
            <c:manualLayout>
              <c:xMode val="edge"/>
              <c:yMode val="edge"/>
              <c:x val="1.7205010177747882E-2"/>
              <c:y val="0.35430037154446609"/>
            </c:manualLayout>
          </c:layout>
          <c:overlay val="0"/>
        </c:title>
        <c:numFmt formatCode="0\,00\,000;\-0\,00\,000;0" sourceLinked="1"/>
        <c:majorTickMark val="cross"/>
        <c:minorTickMark val="cross"/>
        <c:tickLblPos val="nextTo"/>
        <c:spPr>
          <a:ln w="47625">
            <a:noFill/>
          </a:ln>
        </c:spPr>
        <c:crossAx val="483915768"/>
        <c:crosses val="autoZero"/>
        <c:crossBetween val="between"/>
        <c:majorUnit val="200000"/>
        <c:minorUnit val="20000"/>
      </c:valAx>
      <c:valAx>
        <c:axId val="1874390896"/>
        <c:scaling>
          <c:orientation val="minMax"/>
        </c:scaling>
        <c:delete val="0"/>
        <c:axPos val="r"/>
        <c:title>
          <c:tx>
            <c:rich>
              <a:bodyPr rot="5400000" vert="horz"/>
              <a:lstStyle/>
              <a:p>
                <a:pPr>
                  <a:defRPr/>
                </a:pPr>
                <a:r>
                  <a:rPr lang="en-GB" sz="900" b="0" i="0" u="none" strike="noStrike" baseline="0">
                    <a:effectLst/>
                  </a:rPr>
                  <a:t>₹ crore</a:t>
                </a:r>
                <a:endParaRPr lang="en-IN"/>
              </a:p>
            </c:rich>
          </c:tx>
          <c:overlay val="0"/>
        </c:title>
        <c:numFmt formatCode="#,##0;\-#,##0;0" sourceLinked="1"/>
        <c:majorTickMark val="out"/>
        <c:minorTickMark val="none"/>
        <c:tickLblPos val="nextTo"/>
        <c:crossAx val="1874385488"/>
        <c:crosses val="max"/>
        <c:crossBetween val="between"/>
        <c:majorUnit val="2000"/>
      </c:valAx>
      <c:dateAx>
        <c:axId val="1874385488"/>
        <c:scaling>
          <c:orientation val="minMax"/>
        </c:scaling>
        <c:delete val="1"/>
        <c:axPos val="b"/>
        <c:numFmt formatCode="[$-409]mmm\-yy" sourceLinked="1"/>
        <c:majorTickMark val="out"/>
        <c:minorTickMark val="none"/>
        <c:tickLblPos val="nextTo"/>
        <c:crossAx val="1874390896"/>
        <c:crosses val="autoZero"/>
        <c:auto val="1"/>
        <c:lblOffset val="100"/>
        <c:baseTimeUnit val="months"/>
        <c:majorUnit val="1"/>
        <c:minorUnit val="1"/>
      </c:date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54764644071132"/>
          <c:y val="0.11632392478974667"/>
          <c:w val="0.8419876585067303"/>
          <c:h val="0.53750989177249364"/>
        </c:manualLayout>
      </c:layout>
      <c:lineChart>
        <c:grouping val="standard"/>
        <c:varyColors val="0"/>
        <c:ser>
          <c:idx val="0"/>
          <c:order val="0"/>
          <c:tx>
            <c:strRef>
              <c:f>'F9'!$B$2</c:f>
              <c:strCache>
                <c:ptCount val="1"/>
                <c:pt idx="0">
                  <c:v>BSE (Futures)</c:v>
                </c:pt>
              </c:strCache>
            </c:strRef>
          </c:tx>
          <c:spPr>
            <a:ln w="28575" cap="rnd">
              <a:solidFill>
                <a:srgbClr val="C00000"/>
              </a:solidFill>
              <a:round/>
            </a:ln>
            <a:effectLst/>
          </c:spPr>
          <c:marker>
            <c:symbol val="none"/>
          </c:marker>
          <c:cat>
            <c:numRef>
              <c:f>'F9'!$A$12:$A$23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'F9'!$B$12:$B$23</c:f>
              <c:numCache>
                <c:formatCode>_(* #,##0.0_);_(* \(#,##0.0\);_(* "-"??_);_(@_)</c:formatCode>
                <c:ptCount val="12"/>
                <c:pt idx="0">
                  <c:v>6208.3990000000003</c:v>
                </c:pt>
                <c:pt idx="1">
                  <c:v>5829.3091999999997</c:v>
                </c:pt>
                <c:pt idx="2">
                  <c:v>11042.703600000001</c:v>
                </c:pt>
                <c:pt idx="3">
                  <c:v>2394.6293999999998</c:v>
                </c:pt>
                <c:pt idx="4">
                  <c:v>1898.7684999999999</c:v>
                </c:pt>
                <c:pt idx="5">
                  <c:v>4307.7403000000004</c:v>
                </c:pt>
                <c:pt idx="6">
                  <c:v>4082.3089</c:v>
                </c:pt>
                <c:pt idx="7">
                  <c:v>1339.4258</c:v>
                </c:pt>
                <c:pt idx="8">
                  <c:v>618.83699999999999</c:v>
                </c:pt>
                <c:pt idx="9">
                  <c:v>1949.4366000000005</c:v>
                </c:pt>
                <c:pt idx="10">
                  <c:v>3284.3459999999995</c:v>
                </c:pt>
                <c:pt idx="11">
                  <c:v>1087.3934999999999</c:v>
                </c:pt>
              </c:numCache>
            </c:numRef>
          </c:val>
          <c:smooth val="0"/>
          <c:extLst>
            <c:ext xmlns:c16="http://schemas.microsoft.com/office/drawing/2014/chart" uri="{C3380CC4-5D6E-409C-BE32-E72D297353CC}">
              <c16:uniqueId val="{00000000-E3EF-4FE1-B5CC-5B62D4349C6D}"/>
            </c:ext>
          </c:extLst>
        </c:ser>
        <c:ser>
          <c:idx val="1"/>
          <c:order val="1"/>
          <c:tx>
            <c:strRef>
              <c:f>'F9'!$C$2</c:f>
              <c:strCache>
                <c:ptCount val="1"/>
                <c:pt idx="0">
                  <c:v>NSE (Futures and Options)</c:v>
                </c:pt>
              </c:strCache>
            </c:strRef>
          </c:tx>
          <c:spPr>
            <a:ln w="28575" cap="rnd">
              <a:solidFill>
                <a:srgbClr val="00B050"/>
              </a:solidFill>
              <a:round/>
            </a:ln>
            <a:effectLst/>
          </c:spPr>
          <c:marker>
            <c:symbol val="none"/>
          </c:marker>
          <c:cat>
            <c:numRef>
              <c:f>'F9'!$A$12:$A$23</c:f>
              <c:numCache>
                <c:formatCode>[$-409]mmm\-yy</c:formatCode>
                <c:ptCount val="12"/>
                <c:pt idx="0">
                  <c:v>43840</c:v>
                </c:pt>
                <c:pt idx="1">
                  <c:v>43871</c:v>
                </c:pt>
                <c:pt idx="2">
                  <c:v>43900</c:v>
                </c:pt>
                <c:pt idx="3">
                  <c:v>43931</c:v>
                </c:pt>
                <c:pt idx="4">
                  <c:v>43961</c:v>
                </c:pt>
                <c:pt idx="5">
                  <c:v>43992</c:v>
                </c:pt>
                <c:pt idx="6">
                  <c:v>44022</c:v>
                </c:pt>
                <c:pt idx="7">
                  <c:v>44053</c:v>
                </c:pt>
                <c:pt idx="8">
                  <c:v>44084</c:v>
                </c:pt>
                <c:pt idx="9">
                  <c:v>44114</c:v>
                </c:pt>
                <c:pt idx="10">
                  <c:v>44145</c:v>
                </c:pt>
                <c:pt idx="11">
                  <c:v>44175</c:v>
                </c:pt>
              </c:numCache>
            </c:numRef>
          </c:cat>
          <c:val>
            <c:numRef>
              <c:f>'F9'!$C$12:$C$23</c:f>
              <c:numCache>
                <c:formatCode>_(* #,##0.0_);_(* \(#,##0.0\);_(* "-"??_);_(@_)</c:formatCode>
                <c:ptCount val="12"/>
                <c:pt idx="0">
                  <c:v>26807.170719999998</c:v>
                </c:pt>
                <c:pt idx="1">
                  <c:v>30879.879639999999</c:v>
                </c:pt>
                <c:pt idx="2">
                  <c:v>33798.002293999991</c:v>
                </c:pt>
                <c:pt idx="3">
                  <c:v>9733.7467485000016</c:v>
                </c:pt>
                <c:pt idx="4">
                  <c:v>12197.847997499997</c:v>
                </c:pt>
                <c:pt idx="5">
                  <c:v>16790.040404000003</c:v>
                </c:pt>
                <c:pt idx="6">
                  <c:v>11477.779758999999</c:v>
                </c:pt>
                <c:pt idx="7">
                  <c:v>8836.0223354999998</c:v>
                </c:pt>
                <c:pt idx="8">
                  <c:v>7968.2005550000003</c:v>
                </c:pt>
                <c:pt idx="9">
                  <c:v>5969.361613</c:v>
                </c:pt>
                <c:pt idx="10">
                  <c:v>3735.2176584999997</c:v>
                </c:pt>
                <c:pt idx="11">
                  <c:v>5464.1321635000004</c:v>
                </c:pt>
              </c:numCache>
            </c:numRef>
          </c:val>
          <c:smooth val="0"/>
          <c:extLst>
            <c:ext xmlns:c16="http://schemas.microsoft.com/office/drawing/2014/chart" uri="{C3380CC4-5D6E-409C-BE32-E72D297353CC}">
              <c16:uniqueId val="{00000001-E3EF-4FE1-B5CC-5B62D4349C6D}"/>
            </c:ext>
          </c:extLst>
        </c:ser>
        <c:dLbls>
          <c:showLegendKey val="0"/>
          <c:showVal val="0"/>
          <c:showCatName val="0"/>
          <c:showSerName val="0"/>
          <c:showPercent val="0"/>
          <c:showBubbleSize val="0"/>
        </c:dLbls>
        <c:smooth val="0"/>
        <c:axId val="483920864"/>
        <c:axId val="483914984"/>
      </c:lineChart>
      <c:dateAx>
        <c:axId val="48392086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14984"/>
        <c:crosses val="autoZero"/>
        <c:auto val="1"/>
        <c:lblOffset val="100"/>
        <c:baseTimeUnit val="months"/>
      </c:dateAx>
      <c:valAx>
        <c:axId val="483914984"/>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GB"/>
                  <a:t>₹</a:t>
                </a:r>
                <a:r>
                  <a:rPr lang="en-US"/>
                  <a:t> crore</a:t>
                </a:r>
                <a:endParaRPr lang="en-IN"/>
              </a:p>
            </c:rich>
          </c:tx>
          <c:layout>
            <c:manualLayout>
              <c:xMode val="edge"/>
              <c:yMode val="edge"/>
              <c:x val="1.5892897876355713E-2"/>
              <c:y val="0.33094859503579049"/>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8392086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2.xml>
</file>

<file path=customXml/item3.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4.xml><?xml version="1.0" encoding="utf-8"?>
<Klassify>
  <SNO>3</SNO>
  <KDate>2021-02-11 12:20:55</KDate>
  <Classification>SEBI-INTERNAL</Classification>
  <HostName>MUM0111649</HostName>
  <Domain_User>SEBINT/1649</Domain_User>
  <IPAdd>10.88.99.116</IPAdd>
  <FilePath>C:\Users\1649\AppData\Roaming\Klassify\67100\Bulletin-January 2021.docx</FilePath>
  <KID>7427EA48EFCA637066619672483538</KID>
</Klassif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74CF5-52D4-4685-80EC-6F1B86646A89}">
  <ds:schemaRefs/>
</ds:datastoreItem>
</file>

<file path=customXml/itemProps2.xml><?xml version="1.0" encoding="utf-8"?>
<ds:datastoreItem xmlns:ds="http://schemas.openxmlformats.org/officeDocument/2006/customXml" ds:itemID="{AEF8CF48-7BFC-4624-83E7-05B6B05AEE9B}"/>
</file>

<file path=customXml/itemProps3.xml><?xml version="1.0" encoding="utf-8"?>
<ds:datastoreItem xmlns:ds="http://schemas.openxmlformats.org/officeDocument/2006/customXml" ds:itemID="{982F008C-5608-4977-B1FB-BF780A09BDC2}">
  <ds:schemaRefs/>
</ds:datastoreItem>
</file>

<file path=customXml/itemProps4.xml><?xml version="1.0" encoding="utf-8"?>
<ds:datastoreItem xmlns:ds="http://schemas.openxmlformats.org/officeDocument/2006/customXml" ds:itemID="{D7543C77-5EBC-46F2-AC21-5D702358D3EF}">
  <ds:schemaRefs/>
</ds:datastoreItem>
</file>

<file path=customXml/itemProps5.xml><?xml version="1.0" encoding="utf-8"?>
<ds:datastoreItem xmlns:ds="http://schemas.openxmlformats.org/officeDocument/2006/customXml" ds:itemID="{5FCCE9A5-F8DF-4452-B16D-B0BCDA70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13391</Words>
  <Characters>76331</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2</cp:revision>
  <cp:lastPrinted>2021-01-25T05:51:00Z</cp:lastPrinted>
  <dcterms:created xsi:type="dcterms:W3CDTF">2021-02-11T07:16:00Z</dcterms:created>
  <dcterms:modified xsi:type="dcterms:W3CDTF">2021-02-11T07:16:00Z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SEBI-INTERNAL</vt:lpwstr>
  </property>
  <property fmtid="{D5CDD505-2E9C-101B-9397-08002B2CF9AE}" pid="4" name="KID">
    <vt:lpwstr>7427EA48EFCA637066619672483538</vt:lpwstr>
  </property>
</Properties>
</file>